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48" w:rsidRPr="00E97A10" w:rsidRDefault="007F2748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E97A10">
        <w:rPr>
          <w:rFonts w:ascii="Times New Roman" w:eastAsia="Calibri" w:hAnsi="Times New Roman" w:cs="Times New Roman"/>
          <w:b/>
          <w:i/>
          <w:sz w:val="27"/>
          <w:szCs w:val="27"/>
        </w:rPr>
        <w:t>УДК</w:t>
      </w:r>
      <w:r w:rsidR="002E1920" w:rsidRPr="00E97A10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 33:347.751</w:t>
      </w:r>
    </w:p>
    <w:p w:rsidR="00516F5E" w:rsidRPr="00B70CDC" w:rsidRDefault="00516F5E" w:rsidP="00516F5E">
      <w:pPr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DOI 10.38161/2618-9526-2020-1-2-2</w:t>
      </w:r>
    </w:p>
    <w:p w:rsidR="007D49FF" w:rsidRPr="00E97A10" w:rsidRDefault="007D49FF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E97A10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Е.А. </w:t>
      </w:r>
      <w:proofErr w:type="spellStart"/>
      <w:r w:rsidRPr="00E97A10">
        <w:rPr>
          <w:rFonts w:ascii="Times New Roman" w:eastAsia="Calibri" w:hAnsi="Times New Roman" w:cs="Times New Roman"/>
          <w:b/>
          <w:i/>
          <w:sz w:val="27"/>
          <w:szCs w:val="27"/>
        </w:rPr>
        <w:t>Бермес</w:t>
      </w:r>
      <w:proofErr w:type="spellEnd"/>
      <w:r w:rsidR="00753E61" w:rsidRPr="00E97A10">
        <w:rPr>
          <w:rFonts w:ascii="Times New Roman" w:eastAsia="Calibri" w:hAnsi="Times New Roman" w:cs="Times New Roman"/>
          <w:b/>
          <w:i/>
          <w:sz w:val="27"/>
          <w:szCs w:val="27"/>
        </w:rPr>
        <w:t>,</w:t>
      </w:r>
    </w:p>
    <w:p w:rsidR="007D49FF" w:rsidRDefault="007D49FF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pacing w:val="-6"/>
          <w:sz w:val="25"/>
          <w:szCs w:val="25"/>
        </w:rPr>
      </w:pPr>
      <w:r w:rsidRPr="00E97A10">
        <w:rPr>
          <w:rFonts w:ascii="Times New Roman" w:eastAsia="Calibri" w:hAnsi="Times New Roman" w:cs="Times New Roman"/>
          <w:b/>
          <w:i/>
          <w:spacing w:val="-6"/>
          <w:sz w:val="25"/>
          <w:szCs w:val="25"/>
        </w:rPr>
        <w:t>аспирант кафедры гражданского права и гражданского процессуального права</w:t>
      </w:r>
    </w:p>
    <w:p w:rsidR="0084239F" w:rsidRPr="00A835A7" w:rsidRDefault="0084239F" w:rsidP="0084239F">
      <w:pPr>
        <w:widowControl w:val="0"/>
        <w:spacing w:after="0" w:line="288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A835A7">
        <w:rPr>
          <w:rFonts w:ascii="Times New Roman" w:hAnsi="Times New Roman" w:cs="Times New Roman"/>
          <w:b/>
          <w:i/>
          <w:sz w:val="25"/>
          <w:szCs w:val="25"/>
        </w:rPr>
        <w:t>юридического факультета</w:t>
      </w:r>
    </w:p>
    <w:p w:rsidR="007D49FF" w:rsidRPr="008749D8" w:rsidRDefault="007D49FF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5"/>
          <w:szCs w:val="25"/>
        </w:rPr>
      </w:pPr>
      <w:r w:rsidRPr="00E97A10">
        <w:rPr>
          <w:rFonts w:ascii="Times New Roman" w:eastAsia="Calibri" w:hAnsi="Times New Roman" w:cs="Times New Roman"/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7D49FF" w:rsidRPr="008749D8" w:rsidRDefault="007D49FF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33C55" w:rsidRPr="008749D8" w:rsidRDefault="00276E90" w:rsidP="00E97A10">
      <w:pPr>
        <w:widowControl w:val="0"/>
        <w:spacing w:after="0" w:line="312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9D8">
        <w:rPr>
          <w:rFonts w:ascii="Times New Roman" w:eastAsia="Times New Roman" w:hAnsi="Times New Roman" w:cs="Times New Roman"/>
          <w:sz w:val="24"/>
          <w:szCs w:val="24"/>
        </w:rPr>
        <w:t>ЛЮБОЙ ТРУД ДОЛЖЕН БЫТЬ ОПЛАЧЕН...</w:t>
      </w:r>
    </w:p>
    <w:p w:rsidR="00633C55" w:rsidRPr="008749D8" w:rsidRDefault="00C60CC1" w:rsidP="00E97A10">
      <w:pPr>
        <w:widowControl w:val="0"/>
        <w:spacing w:after="0" w:line="312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9D8">
        <w:rPr>
          <w:rFonts w:ascii="Times New Roman" w:eastAsia="Times New Roman" w:hAnsi="Times New Roman" w:cs="Times New Roman"/>
          <w:sz w:val="24"/>
          <w:szCs w:val="24"/>
        </w:rPr>
        <w:t>ВСЕГДА ЛИ ЭТО РЕАЛЬНО ПРИ ПОСТАВКЕ</w:t>
      </w:r>
      <w:r w:rsidR="00276E90" w:rsidRPr="008749D8">
        <w:rPr>
          <w:rFonts w:ascii="Times New Roman" w:eastAsia="Times New Roman" w:hAnsi="Times New Roman" w:cs="Times New Roman"/>
          <w:sz w:val="24"/>
          <w:szCs w:val="24"/>
        </w:rPr>
        <w:t xml:space="preserve"> ТОВАРА </w:t>
      </w:r>
      <w:proofErr w:type="gramStart"/>
      <w:r w:rsidR="00276E90" w:rsidRPr="008749D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276E90" w:rsidRPr="00874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1716" w:rsidRPr="008749D8" w:rsidRDefault="00276E90" w:rsidP="00E97A10">
      <w:pPr>
        <w:widowControl w:val="0"/>
        <w:spacing w:after="0" w:line="312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9D8">
        <w:rPr>
          <w:rFonts w:ascii="Times New Roman" w:eastAsia="Times New Roman" w:hAnsi="Times New Roman" w:cs="Times New Roman"/>
          <w:sz w:val="24"/>
          <w:szCs w:val="24"/>
        </w:rPr>
        <w:t>ГОСУДА</w:t>
      </w:r>
      <w:r w:rsidR="00633C55" w:rsidRPr="008749D8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НУЖД</w:t>
      </w:r>
      <w:r w:rsidRPr="008749D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44A39" w:rsidRPr="008749D8" w:rsidRDefault="00C44A39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0235" w:rsidRPr="008749D8" w:rsidRDefault="005B0235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749D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 статье раскрывается проблема поставки товара с превышением предусмотренного сторонами объема в отсутствие на это письменного соглашения сторон, что влечет за собой отказ в оплате и, как следствие, убытки на стороне поставщика. Автор предлагает пути решения данной проблемы с помощью внесения изменений в законодательство, допускающи</w:t>
      </w:r>
      <w:r w:rsidR="008013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е дополнительную поставку товара</w:t>
      </w:r>
      <w:r w:rsidRPr="008749D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без проведения новой процедуры закупки.</w:t>
      </w:r>
    </w:p>
    <w:p w:rsidR="00976808" w:rsidRPr="008749D8" w:rsidRDefault="00976808" w:rsidP="00E97A10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0"/>
          <w:szCs w:val="20"/>
        </w:rPr>
        <w:t>Ключевые слова:</w:t>
      </w: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поставка товаров, государственные и муниципальные нужды, цена контракта.</w:t>
      </w:r>
    </w:p>
    <w:p w:rsidR="00BE7E44" w:rsidRPr="008749D8" w:rsidRDefault="00BE7E44" w:rsidP="00E97A10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B70478" w:rsidRPr="008749D8" w:rsidRDefault="00924694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UDC 3</w:t>
      </w:r>
      <w:r w:rsidR="00801321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3</w:t>
      </w:r>
      <w:r w:rsidR="00801321" w:rsidRPr="00516F5E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:</w:t>
      </w: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347</w:t>
      </w:r>
      <w:r w:rsidR="00B70478" w:rsidRPr="008749D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.</w:t>
      </w: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751</w:t>
      </w:r>
    </w:p>
    <w:p w:rsidR="00516F5E" w:rsidRPr="00B70CDC" w:rsidRDefault="00516F5E" w:rsidP="00516F5E">
      <w:pPr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8749D8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10.38161/2618-9526-2020-1-2-2</w:t>
      </w:r>
    </w:p>
    <w:p w:rsidR="00BE7E44" w:rsidRPr="008749D8" w:rsidRDefault="00B70478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E.A. </w:t>
      </w:r>
      <w:proofErr w:type="spellStart"/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lang w:val="en-US"/>
        </w:rPr>
        <w:t>Bermes</w:t>
      </w:r>
      <w:proofErr w:type="spellEnd"/>
    </w:p>
    <w:p w:rsidR="00B70478" w:rsidRPr="008749D8" w:rsidRDefault="00B70478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  <w:t>Postgraduate student</w:t>
      </w:r>
    </w:p>
    <w:p w:rsidR="00B70478" w:rsidRPr="008749D8" w:rsidRDefault="00B70478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  <w:t xml:space="preserve">Department of Civil Law and </w:t>
      </w:r>
      <w:r w:rsidR="00DA1C24" w:rsidRPr="008749D8"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  <w:t>Civil Procedure</w:t>
      </w:r>
    </w:p>
    <w:p w:rsidR="00DA1C24" w:rsidRPr="008749D8" w:rsidRDefault="00DA1C24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BE7E44" w:rsidRPr="008749D8" w:rsidRDefault="00BE7E44" w:rsidP="00E97A10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BE7E44" w:rsidRPr="008749D8" w:rsidRDefault="00BE7E44" w:rsidP="00E97A10">
      <w:pPr>
        <w:widowControl w:val="0"/>
        <w:spacing w:after="0" w:line="312" w:lineRule="auto"/>
        <w:ind w:firstLine="340"/>
        <w:jc w:val="center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8749D8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  <w:t>Any Labor Must Be Paid...</w:t>
      </w:r>
    </w:p>
    <w:p w:rsidR="00BE7E44" w:rsidRPr="008749D8" w:rsidRDefault="00BE7E44" w:rsidP="00E97A10">
      <w:pPr>
        <w:widowControl w:val="0"/>
        <w:spacing w:after="0" w:line="312" w:lineRule="auto"/>
        <w:ind w:firstLine="340"/>
        <w:jc w:val="center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8749D8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  <w:t>(The Possibility of Payment During Delivering Goods for State and Municipal Needs)</w:t>
      </w:r>
    </w:p>
    <w:p w:rsidR="00BE7E44" w:rsidRPr="008749D8" w:rsidRDefault="00BE7E44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D17493" w:rsidRPr="008749D8" w:rsidRDefault="00D17493" w:rsidP="00E97A10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</w:pP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The article considers the problem of delivery of goods exceeding the volume stipulated by the parties in the absence of a written agreement of the parties, which entails a refusal to pay and, as a result, losses on the su</w:t>
      </w: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p</w:t>
      </w: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plier's side. The author suggests ways to solve this problem by making changes to the legislation that allow add</w:t>
      </w: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tional delivery of goods without conducting a new procurement procedure.</w:t>
      </w:r>
    </w:p>
    <w:p w:rsidR="00D17493" w:rsidRPr="008749D8" w:rsidRDefault="00D17493" w:rsidP="00E97A10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</w:pPr>
      <w:r w:rsidRPr="008749D8">
        <w:rPr>
          <w:rFonts w:ascii="Times New Roman" w:eastAsia="Calibri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 xml:space="preserve"> delivery of goods, state and municipal </w:t>
      </w:r>
      <w:proofErr w:type="gramStart"/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needs,</w:t>
      </w:r>
      <w:proofErr w:type="gramEnd"/>
      <w:r w:rsidRPr="008749D8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 xml:space="preserve"> price of contract.</w:t>
      </w:r>
    </w:p>
    <w:p w:rsidR="00351541" w:rsidRPr="0084239F" w:rsidRDefault="00351541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:rsidR="00E97A10" w:rsidRPr="0084239F" w:rsidRDefault="00E97A1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  <w:sectPr w:rsidR="00E97A10" w:rsidRPr="0084239F" w:rsidSect="008749D8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709" w:gutter="0"/>
          <w:pgNumType w:start="131"/>
          <w:cols w:space="720"/>
          <w:docGrid w:type="lines" w:linePitch="170" w:charSpace="-6144"/>
        </w:sectPr>
      </w:pP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Поставка товара, в </w:t>
      </w:r>
      <w:r w:rsidR="009837BA" w:rsidRPr="008749D8">
        <w:rPr>
          <w:rFonts w:ascii="Times New Roman" w:eastAsia="Times New Roman" w:hAnsi="Times New Roman" w:cs="Times New Roman"/>
          <w:sz w:val="23"/>
          <w:szCs w:val="23"/>
        </w:rPr>
        <w:t>том числе и для государственных нужд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 является дост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точно давним институтом права, в кот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ром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казалось бы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не должно оставаться н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евыясненных вопросов и неразрешё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ных проблем.</w:t>
      </w:r>
    </w:p>
    <w:p w:rsidR="00571716" w:rsidRPr="008749D8" w:rsidRDefault="007D49FF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>В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месте с тем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появление специального законодательства, регулирующего п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ставку товаров для госуд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арственных и муниципальных нужд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837BA" w:rsidRPr="008749D8">
        <w:rPr>
          <w:rFonts w:ascii="Times New Roman" w:eastAsia="Times New Roman" w:hAnsi="Times New Roman" w:cs="Times New Roman"/>
          <w:sz w:val="23"/>
          <w:szCs w:val="23"/>
        </w:rPr>
        <w:t>как процедуру з</w:t>
      </w:r>
      <w:r w:rsidR="009837BA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9837BA" w:rsidRPr="008749D8">
        <w:rPr>
          <w:rFonts w:ascii="Times New Roman" w:eastAsia="Times New Roman" w:hAnsi="Times New Roman" w:cs="Times New Roman"/>
          <w:sz w:val="23"/>
          <w:szCs w:val="23"/>
        </w:rPr>
        <w:t>купки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товара в рамках контрактной с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стемы, обозначило новые проблемы, не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>возникающие ранее.</w:t>
      </w:r>
      <w:r w:rsidR="001223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Зачастую на практ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ке имеют место ситуации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которых 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вар поставлен, а оформленный на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длеж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щим образом контракт не заключё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н.</w:t>
      </w:r>
    </w:p>
    <w:p w:rsidR="00571716" w:rsidRPr="008749D8" w:rsidRDefault="009837BA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озможны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и такие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ситуац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ии, при к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торых контракт заключё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 надлежащим образом, сторонами осуществляется его исполне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ние, но по факту или по прош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ст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вии какого-т</w:t>
      </w:r>
      <w:r w:rsidR="00F159E3" w:rsidRPr="008749D8">
        <w:rPr>
          <w:rFonts w:ascii="Times New Roman" w:eastAsia="Times New Roman" w:hAnsi="Times New Roman" w:cs="Times New Roman"/>
          <w:sz w:val="23"/>
          <w:szCs w:val="23"/>
        </w:rPr>
        <w:t>о времени выясняется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, что условиями контра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кта предусмотрен др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гой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объё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м,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нежели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 xml:space="preserve"> тот, ко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торый был п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ставлен</w:t>
      </w:r>
      <w:r w:rsidR="00633C55" w:rsidRPr="008749D8">
        <w:rPr>
          <w:rFonts w:ascii="Times New Roman" w:eastAsia="Times New Roman" w:hAnsi="Times New Roman" w:cs="Times New Roman"/>
          <w:sz w:val="23"/>
          <w:szCs w:val="23"/>
        </w:rPr>
        <w:t>, но дополнительное соглашение к уже существующему контракту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отсу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ствует.</w:t>
      </w:r>
      <w:proofErr w:type="gramEnd"/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Последствием указанного являе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 xml:space="preserve">ся </w:t>
      </w:r>
      <w:r w:rsidR="00276E90" w:rsidRPr="008749D8">
        <w:rPr>
          <w:rFonts w:ascii="Times New Roman" w:eastAsia="Times New Roman" w:hAnsi="Times New Roman" w:cs="Times New Roman"/>
          <w:sz w:val="23"/>
          <w:szCs w:val="23"/>
        </w:rPr>
        <w:t>отказ заказчика</w:t>
      </w:r>
      <w:r w:rsidR="00495B72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оплачивать поставле</w:t>
      </w:r>
      <w:r w:rsidR="00495B72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495B72" w:rsidRPr="008749D8">
        <w:rPr>
          <w:rFonts w:ascii="Times New Roman" w:eastAsia="Times New Roman" w:hAnsi="Times New Roman" w:cs="Times New Roman"/>
          <w:sz w:val="23"/>
          <w:szCs w:val="23"/>
        </w:rPr>
        <w:t>ный товар.</w:t>
      </w:r>
      <w:r w:rsidR="001223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В силу специфики работ</w:t>
      </w:r>
      <w:r w:rsidR="00495B72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добное наиболее характерно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для контра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к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та на выполнение строительных или иных подрядных работ, регулируемых </w:t>
      </w:r>
      <w:r w:rsidR="00637AD0" w:rsidRPr="008749D8">
        <w:rPr>
          <w:rFonts w:ascii="Times New Roman" w:eastAsia="Times New Roman" w:hAnsi="Times New Roman" w:cs="Times New Roman"/>
          <w:sz w:val="23"/>
          <w:szCs w:val="23"/>
        </w:rPr>
        <w:t>гл.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 xml:space="preserve"> 37 Гражданского кодекса Российской Фед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рации (далее – ГК РФ) [1], а также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спец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альными нормами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законодатель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>ства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 контрактной системе.</w:t>
      </w:r>
    </w:p>
    <w:p w:rsidR="00F159E3" w:rsidRPr="008749D8" w:rsidRDefault="006B4996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В отношении </w:t>
      </w:r>
      <w:r w:rsidR="00070FC3" w:rsidRPr="008749D8">
        <w:rPr>
          <w:rFonts w:ascii="Times New Roman" w:eastAsia="Times New Roman" w:hAnsi="Times New Roman" w:cs="Times New Roman"/>
          <w:sz w:val="23"/>
          <w:szCs w:val="23"/>
        </w:rPr>
        <w:t xml:space="preserve">подрядных работ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 части гос</w:t>
      </w:r>
      <w:r w:rsidR="00423F5D" w:rsidRPr="008749D8">
        <w:rPr>
          <w:rFonts w:ascii="Times New Roman" w:eastAsia="Times New Roman" w:hAnsi="Times New Roman" w:cs="Times New Roman"/>
          <w:sz w:val="23"/>
          <w:szCs w:val="23"/>
        </w:rPr>
        <w:t xml:space="preserve">ударственных </w:t>
      </w:r>
      <w:r w:rsidR="00637AD0" w:rsidRPr="008749D8">
        <w:rPr>
          <w:rFonts w:ascii="Times New Roman" w:eastAsia="Times New Roman" w:hAnsi="Times New Roman" w:cs="Times New Roman"/>
          <w:sz w:val="23"/>
          <w:szCs w:val="23"/>
        </w:rPr>
        <w:t>нужд</w:t>
      </w:r>
      <w:r w:rsidR="00C60CC1" w:rsidRPr="008749D8">
        <w:rPr>
          <w:rFonts w:ascii="Times New Roman" w:eastAsia="Times New Roman" w:hAnsi="Times New Roman" w:cs="Times New Roman"/>
          <w:sz w:val="23"/>
          <w:szCs w:val="23"/>
        </w:rPr>
        <w:t xml:space="preserve"> работы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предста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ляет две группы, одной из которых явл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ются работы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не 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 xml:space="preserve">предусмотренные 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ко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трактом либо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в отсутствие контракта</w:t>
      </w:r>
      <w:r w:rsidR="00F159E3" w:rsidRPr="008749D8">
        <w:rPr>
          <w:rFonts w:ascii="Times New Roman" w:eastAsia="Times New Roman" w:hAnsi="Times New Roman" w:cs="Times New Roman"/>
          <w:sz w:val="23"/>
          <w:szCs w:val="23"/>
        </w:rPr>
        <w:t>, вторая</w:t>
      </w:r>
      <w:r w:rsidR="00637AD0" w:rsidRPr="008749D8">
        <w:rPr>
          <w:rFonts w:ascii="Times New Roman" w:eastAsia="Times New Roman" w:hAnsi="Times New Roman" w:cs="Times New Roman"/>
          <w:sz w:val="23"/>
          <w:szCs w:val="23"/>
        </w:rPr>
        <w:t xml:space="preserve"> –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работы</w:t>
      </w:r>
      <w:r w:rsidR="00637AD0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выполненные сверх предусмотренн</w:t>
      </w:r>
      <w:r w:rsidR="00637AD0" w:rsidRPr="008749D8">
        <w:rPr>
          <w:rFonts w:ascii="Times New Roman" w:eastAsia="Times New Roman" w:hAnsi="Times New Roman" w:cs="Times New Roman"/>
          <w:sz w:val="23"/>
          <w:szCs w:val="23"/>
        </w:rPr>
        <w:t>ого контрактом объё</w:t>
      </w:r>
      <w:r w:rsidR="00F159E3" w:rsidRPr="008749D8">
        <w:rPr>
          <w:rFonts w:ascii="Times New Roman" w:eastAsia="Times New Roman" w:hAnsi="Times New Roman" w:cs="Times New Roman"/>
          <w:sz w:val="23"/>
          <w:szCs w:val="23"/>
        </w:rPr>
        <w:t>ма работ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(дополнительные)</w:t>
      </w:r>
      <w:r w:rsidR="00F159E3"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8093C" w:rsidRPr="008749D8" w:rsidRDefault="00C8093C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Между тем вопрос о дополнительно поставленном товаре при отсутствии 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кого</w:t>
      </w:r>
      <w:r w:rsidR="003D2675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соглашения к государственному или муниципальному контракту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 xml:space="preserve"> являющийся по своему правовому смыслу схожим с вопросом о поставке товара вне обяз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тельств,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также заслуживает вним</w:t>
      </w:r>
      <w:r w:rsidR="00E20F72" w:rsidRPr="008749D8">
        <w:rPr>
          <w:rFonts w:ascii="Times New Roman" w:eastAsia="Times New Roman" w:hAnsi="Times New Roman" w:cs="Times New Roman"/>
          <w:sz w:val="23"/>
          <w:szCs w:val="23"/>
        </w:rPr>
        <w:t>ания и порождает на практике не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мало вопросов о взыскании расходов, понесенны</w:t>
      </w:r>
      <w:r w:rsidR="00E20F72" w:rsidRPr="008749D8">
        <w:rPr>
          <w:rFonts w:ascii="Times New Roman" w:eastAsia="Times New Roman" w:hAnsi="Times New Roman" w:cs="Times New Roman"/>
          <w:sz w:val="23"/>
          <w:szCs w:val="23"/>
        </w:rPr>
        <w:t>х в связи с поставкой товара.</w:t>
      </w:r>
      <w:r w:rsidR="001223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6B4996" w:rsidRPr="0012237E" w:rsidRDefault="00F159E3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lastRenderedPageBreak/>
        <w:t>П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равовое регулирование поставки для </w:t>
      </w:r>
      <w:r w:rsidR="00F55FB7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государственных 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нужд осуществляется </w:t>
      </w:r>
      <w:r w:rsidR="00E20F72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в тесном взаимодействии с</w:t>
      </w:r>
      <w:r w:rsidR="00983DCD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норм</w:t>
      </w:r>
      <w:r w:rsidR="00E20F72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ами</w:t>
      </w:r>
      <w:r w:rsidR="00983DCD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Ф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ед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е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рального закона «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 контрактной системе в сфере закупок товаров, работ, услуг для обеспечения госуд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арственных и муниц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и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пальных нужд»</w:t>
      </w:r>
      <w:r w:rsidR="00E20F72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от 5 апреля 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2013</w:t>
      </w:r>
      <w:r w:rsidR="00E20F72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г.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№</w:t>
      </w:r>
      <w:r w:rsidR="00E20F72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44-ФЗ (далее – 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Закон № 44-ФЗ)</w:t>
      </w:r>
      <w:r w:rsidR="006B4996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[2]</w:t>
      </w:r>
      <w:r w:rsidR="00E20F72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(а иногда и с преобладанием этих норм).</w:t>
      </w:r>
    </w:p>
    <w:p w:rsidR="001B4D55" w:rsidRPr="008749D8" w:rsidRDefault="006B4996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Несмотря на то, что по ГК РФ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сущ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ственным условием договора поставки</w:t>
      </w:r>
      <w:r w:rsidR="00E20F72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помимо наименования и количества тов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ра, является условие о сроке поставки, в рамках законодательства о контрактной системе к числу существенных условий также относится цена</w:t>
      </w:r>
      <w:r w:rsidR="003C524E"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  <w:r w:rsidR="001223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B4D55" w:rsidRPr="008749D8">
        <w:rPr>
          <w:rFonts w:ascii="Times New Roman" w:eastAsia="Times New Roman" w:hAnsi="Times New Roman" w:cs="Times New Roman"/>
          <w:sz w:val="23"/>
          <w:szCs w:val="23"/>
        </w:rPr>
        <w:t>По общему прав</w:t>
      </w:r>
      <w:r w:rsidR="001B4D55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1B4D55" w:rsidRPr="008749D8">
        <w:rPr>
          <w:rFonts w:ascii="Times New Roman" w:eastAsia="Times New Roman" w:hAnsi="Times New Roman" w:cs="Times New Roman"/>
          <w:sz w:val="23"/>
          <w:szCs w:val="23"/>
        </w:rPr>
        <w:t>лу, изменение существенных условий контракта является недопустимым.</w:t>
      </w:r>
    </w:p>
    <w:p w:rsidR="00571716" w:rsidRPr="008749D8" w:rsidRDefault="001B4D55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Указанная пр</w:t>
      </w:r>
      <w:r w:rsidR="00E20F72" w:rsidRPr="008749D8">
        <w:rPr>
          <w:rFonts w:ascii="Times New Roman" w:eastAsia="Times New Roman" w:hAnsi="Times New Roman" w:cs="Times New Roman"/>
          <w:sz w:val="23"/>
          <w:szCs w:val="23"/>
        </w:rPr>
        <w:t>авовая позиция отражена в ст.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95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Закона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№ 44-ФЗ. </w:t>
      </w: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Исключением из данных правил является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возможность 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менения условий контракта, </w:t>
      </w:r>
      <w:r w:rsidR="00763265" w:rsidRPr="008749D8">
        <w:rPr>
          <w:rFonts w:ascii="Times New Roman" w:eastAsia="Times New Roman" w:hAnsi="Times New Roman" w:cs="Times New Roman"/>
          <w:sz w:val="23"/>
          <w:szCs w:val="23"/>
        </w:rPr>
        <w:t>когда стор</w:t>
      </w:r>
      <w:r w:rsidR="00763265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763265" w:rsidRPr="008749D8">
        <w:rPr>
          <w:rFonts w:ascii="Times New Roman" w:eastAsia="Times New Roman" w:hAnsi="Times New Roman" w:cs="Times New Roman"/>
          <w:sz w:val="23"/>
          <w:szCs w:val="23"/>
        </w:rPr>
        <w:t>ны закрепляют</w:t>
      </w:r>
      <w:r w:rsidR="00FE7BD4" w:rsidRPr="008749D8">
        <w:rPr>
          <w:rFonts w:ascii="Times New Roman" w:eastAsia="Times New Roman" w:hAnsi="Times New Roman" w:cs="Times New Roman"/>
          <w:sz w:val="23"/>
          <w:szCs w:val="23"/>
        </w:rPr>
        <w:t xml:space="preserve"> данное условие в 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самом </w:t>
      </w:r>
      <w:r w:rsidR="00FE7BD4" w:rsidRPr="008749D8">
        <w:rPr>
          <w:rFonts w:ascii="Times New Roman" w:eastAsia="Times New Roman" w:hAnsi="Times New Roman" w:cs="Times New Roman"/>
          <w:sz w:val="23"/>
          <w:szCs w:val="23"/>
        </w:rPr>
        <w:t>контракте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  <w:r w:rsidR="00462D96" w:rsidRPr="008749D8">
        <w:rPr>
          <w:rFonts w:ascii="Times New Roman" w:eastAsia="Times New Roman" w:hAnsi="Times New Roman" w:cs="Times New Roman"/>
          <w:sz w:val="23"/>
          <w:szCs w:val="23"/>
        </w:rPr>
        <w:t>его наличие в документации о закупке</w:t>
      </w:r>
      <w:r w:rsidR="00FE7BD4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при изменении</w:t>
      </w:r>
      <w:r w:rsidR="008409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цены контракта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8093C" w:rsidRPr="008749D8">
        <w:rPr>
          <w:rFonts w:ascii="Times New Roman" w:eastAsia="Times New Roman" w:hAnsi="Times New Roman" w:cs="Times New Roman"/>
          <w:sz w:val="23"/>
          <w:szCs w:val="23"/>
        </w:rPr>
        <w:t>(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имеется в</w:t>
      </w:r>
      <w:r w:rsidR="008409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виду снижение цены контракта без изменения предусмотренных контра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к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том количества товаров, работ, услуг), при увеличении по предложению зака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чика количества товаров, работ, услуг или уменьшении количества поставляемого товара, предусмотренного контрактом, </w:t>
      </w:r>
      <w:r w:rsidR="00C8093C" w:rsidRPr="008749D8">
        <w:rPr>
          <w:rFonts w:ascii="Times New Roman" w:eastAsia="Times New Roman" w:hAnsi="Times New Roman" w:cs="Times New Roman"/>
          <w:sz w:val="23"/>
          <w:szCs w:val="23"/>
        </w:rPr>
        <w:t>не более</w:t>
      </w:r>
      <w:proofErr w:type="gramEnd"/>
      <w:r w:rsidR="00C8093C" w:rsidRPr="008749D8">
        <w:rPr>
          <w:rFonts w:ascii="Times New Roman" w:eastAsia="Times New Roman" w:hAnsi="Times New Roman" w:cs="Times New Roman"/>
          <w:sz w:val="23"/>
          <w:szCs w:val="23"/>
        </w:rPr>
        <w:t xml:space="preserve"> чем на десять процентов [2].</w:t>
      </w:r>
    </w:p>
    <w:p w:rsidR="00571716" w:rsidRPr="008749D8" w:rsidRDefault="001B4D55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Согласно судебной практике арби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ражных судов,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заключение заказчиком как государственным бюджетным учр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ждением договоров подряда является 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купкой, осуществляемой в соответствии с требованиями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 xml:space="preserve"> законодательства о ко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>трактной системе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, что исключает во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можность заключения государственными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>органами, органами управления внебю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д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жетными фондами, органами местного самоуправления,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казё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нными учреждени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ми и иными получателями средств фед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рального бюджета, бюджетов субъектов Российской Федерации или местных бюджетов вступать в договорные отн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шения без заключения государственного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или муниципального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контракта [11].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Анал</w:t>
      </w:r>
      <w:r w:rsidR="00D600CB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гичный подход прослеживается в судебной практике в отношении поставле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ного товара для государственных нужд.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Так, общество, выполняя поставку 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вара в рамках государственного контра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та, поставило дополнительное оборудов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ние и программное обеспечение: к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абель HDM1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Gembird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наушники, микрофоны, гарнитура </w:t>
      </w:r>
      <w:proofErr w:type="spellStart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Dialog</w:t>
      </w:r>
      <w:proofErr w:type="spellEnd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М-250HV, 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еб-камера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SKYUabs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CAM-O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N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08 с подсветкой, мышь CBR СМ-102 </w:t>
      </w:r>
      <w:proofErr w:type="spellStart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Black</w:t>
      </w:r>
      <w:proofErr w:type="spellEnd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, оптика, </w:t>
      </w:r>
      <w:proofErr w:type="spellStart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баг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рейка</w:t>
      </w:r>
      <w:proofErr w:type="spellEnd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ТРОФИ СК2032, 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нтивирусное программное обеспечение DR.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Web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Security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Space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1, FQC-09519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WinPro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10 RUS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Upgrd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OLP NL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Acdmc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с нару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шением требований З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акона № 44-ФЗ и в отсу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ствие подписанного обеими сторонами дополнительного соглашения к закл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ю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ченному государств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енному контракту, в </w:t>
      </w:r>
      <w:proofErr w:type="gramStart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связи</w:t>
      </w:r>
      <w:proofErr w:type="gramEnd"/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 чем суд первой инстанции пришел </w:t>
      </w:r>
      <w:r w:rsidR="00D565FC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к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выводу о том, что в рассматриваемом сл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у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чае истец не мог не знать, что товар был п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ставлен им при очевидном отсутствии об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я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зательства, требование о взыскании неосн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вательного обогащения не подлежит уд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влетворению в </w:t>
      </w:r>
      <w:r w:rsidR="00EC4896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силу п</w:t>
      </w:r>
      <w:r w:rsidR="00B60DFC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.</w:t>
      </w:r>
      <w:r w:rsidR="00EC4896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4 ст</w:t>
      </w:r>
      <w:r w:rsidR="00B60DFC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.</w:t>
      </w:r>
      <w:r w:rsidR="00EC4896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1109 ГК РФ [12].</w:t>
      </w:r>
    </w:p>
    <w:p w:rsidR="00571716" w:rsidRPr="008749D8" w:rsidRDefault="00D565FC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Также судами подчё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ркивается, что удовлетворение исковых требований при таких обстоятельствах является злоуп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треблением правом и нед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опустимо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силу ст</w:t>
      </w:r>
      <w:r w:rsidR="00B60DFC"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10 ГК РФ [12].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Поставщик</w:t>
      </w:r>
      <w:r w:rsidR="00D565FC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,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выполняя поставку товаров, 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lastRenderedPageBreak/>
        <w:t>счит</w:t>
      </w:r>
      <w:r w:rsidR="00D565FC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ает, что в сложившейся ситуации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да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ные действия необходимы, заказчик же г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ворит, что поставка выполнена</w:t>
      </w:r>
      <w:r w:rsidR="00983DCD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с нарушен</w:t>
      </w:r>
      <w:r w:rsidR="00983DCD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и</w:t>
      </w:r>
      <w:r w:rsidR="00983DCD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ем условий контракта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, что противоречит действующему законодательству и не п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рождает обязанности произвести оплату.</w:t>
      </w:r>
    </w:p>
    <w:p w:rsidR="00571716" w:rsidRPr="0012237E" w:rsidRDefault="001B4D55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Передача товара в о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тсутствие госуда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ственного контракта на поставку товара, з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ключенного с соблюдением требований, предусмотренных Законом № 44-ФЗ, не м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жет повлечь на стороне ответчика обяз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тельства по оплате; такие действия общества свидетельствуют о том, что лицо, постави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в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шее товар, не могло не знать, что поставка осуществляется им при очевидном отсу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т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ствии обязательства </w:t>
      </w:r>
      <w:r w:rsidR="00EC4896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[13].</w:t>
      </w:r>
    </w:p>
    <w:p w:rsidR="0096476D" w:rsidRPr="008749D8" w:rsidRDefault="00D565FC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До принятия п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остановлений Высшего Арбитраж</w:t>
      </w:r>
      <w:r w:rsidR="00F55FB7" w:rsidRPr="008749D8">
        <w:rPr>
          <w:rFonts w:ascii="Times New Roman" w:eastAsia="Times New Roman" w:hAnsi="Times New Roman" w:cs="Times New Roman"/>
          <w:sz w:val="23"/>
          <w:szCs w:val="23"/>
        </w:rPr>
        <w:t>ного Суда РФ от 28 мая 2013 г. № 18045/12 по делу №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А40-37822/1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2-55-344 и от 4 июня 2013 г.</w:t>
      </w:r>
      <w:r w:rsidR="00F55FB7" w:rsidRPr="008749D8">
        <w:rPr>
          <w:rFonts w:ascii="Times New Roman" w:eastAsia="Times New Roman" w:hAnsi="Times New Roman" w:cs="Times New Roman"/>
          <w:sz w:val="23"/>
          <w:szCs w:val="23"/>
        </w:rPr>
        <w:t xml:space="preserve"> №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37/13 по де</w:t>
      </w:r>
      <w:r w:rsidR="00F55FB7" w:rsidRPr="008749D8">
        <w:rPr>
          <w:rFonts w:ascii="Times New Roman" w:eastAsia="Times New Roman" w:hAnsi="Times New Roman" w:cs="Times New Roman"/>
          <w:sz w:val="23"/>
          <w:szCs w:val="23"/>
        </w:rPr>
        <w:t>лу №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А23-584/2011 стоимость работ, выпо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ненных для государственного (муниц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пального) заказчика в условиях отсу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ствия соответствующего контракта, взы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кивалась судами как неосновательное обогащение либо как стоимость выпо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ненных работ по фактически сложивши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м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ся подрядным правоотношениям.</w:t>
      </w:r>
      <w:proofErr w:type="gramEnd"/>
    </w:p>
    <w:p w:rsidR="00571716" w:rsidRPr="008749D8" w:rsidRDefault="0096476D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2015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 xml:space="preserve"> г.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уже Вер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ховный Суд Росси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й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ской Федерации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указал, что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случае с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циальной зн</w:t>
      </w:r>
      <w:r w:rsidR="00D565FC" w:rsidRPr="008749D8">
        <w:rPr>
          <w:rFonts w:ascii="Times New Roman" w:eastAsia="Times New Roman" w:hAnsi="Times New Roman" w:cs="Times New Roman"/>
          <w:sz w:val="23"/>
          <w:szCs w:val="23"/>
        </w:rPr>
        <w:t>ачимости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осуществляемых работ, направленности деятельности на защиту охраняем</w:t>
      </w:r>
      <w:r w:rsidR="002B3753" w:rsidRPr="008749D8">
        <w:rPr>
          <w:rFonts w:ascii="Times New Roman" w:eastAsia="Times New Roman" w:hAnsi="Times New Roman" w:cs="Times New Roman"/>
          <w:sz w:val="23"/>
          <w:szCs w:val="23"/>
        </w:rPr>
        <w:t>ых законом публичных интересов,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учитывая длительность и 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гулярность работ, требования об удовл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творении в отсутствие государственного (муниципального) контракта взыскания в качестве неосновательного обогащения стоимости поставленных товаров, выпо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ненных работ или оказанных услуг для государственных или муниципальных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>нужд в пользу контрагентов, которые вправе</w:t>
      </w:r>
      <w:proofErr w:type="gramEnd"/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вступать в договорные отношения с бюджетными учреждениями исключ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тельно посредством заключения таких контрактов в соответствии с требовани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ми за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кона, подлежат удовлетворению.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Ссылка в данном случае на несоблюдение требований Закона № 44-ФЗ, принятого в обеспечение одних публичных интересов, в том числе для предотвращения злоуп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треблений в сфере размещения заказов, противопоставляется другим публичным интересам. Такое противопоставление при отсутствии в действиях подрядчика намерения обойти закон либо признаков недобросовестности или иного злоуп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требления при осуществлении спорной деятельности в отсутствие государстве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ного контракта противоречит задачам с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допро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изводства в арбитражных судах [7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]. </w:t>
      </w:r>
    </w:p>
    <w:p w:rsidR="00571716" w:rsidRPr="008749D8" w:rsidRDefault="002F54EA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2B3753" w:rsidRPr="008749D8">
        <w:rPr>
          <w:rFonts w:ascii="Times New Roman" w:eastAsia="Times New Roman" w:hAnsi="Times New Roman" w:cs="Times New Roman"/>
          <w:sz w:val="23"/>
          <w:szCs w:val="23"/>
        </w:rPr>
        <w:t xml:space="preserve"> 2017 г.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Верховный суд Российской Федерации принял обзор</w:t>
      </w:r>
      <w:r w:rsidR="00F55FB7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котором ук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зал, что не может быть отказано в удовл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творении иска об оплате поставки тов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ров, выполнения работ или оказания услуг в целях удовлетворения госуда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ственных или муниципальных нужд в 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сутствие государственного или муниц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пального контракта или с превышением его максимальной цены в случаях, когда из закона следует, что поставка товаров, выполнение работ или</w:t>
      </w:r>
      <w:proofErr w:type="gramEnd"/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оказание услуг 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ляются обязательными для соответств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ющего исполнителя вне зависимо</w:t>
      </w:r>
      <w:r w:rsidR="002B3753" w:rsidRPr="008749D8">
        <w:rPr>
          <w:rFonts w:ascii="Times New Roman" w:eastAsia="Times New Roman" w:hAnsi="Times New Roman" w:cs="Times New Roman"/>
          <w:sz w:val="23"/>
          <w:szCs w:val="23"/>
        </w:rPr>
        <w:t>сти от его волеизъявления (п.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21)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 xml:space="preserve"> [6]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71716" w:rsidRPr="008749D8" w:rsidRDefault="002B3753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Ещё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одним критерием, по которому оценивают суды наличие либо отсутствие оснований для взыскания стоимости д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полнительной поставки, является чрезв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ы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чайный характер или неотложность пр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водимых работ или поставляемого товара.</w:t>
      </w:r>
    </w:p>
    <w:p w:rsidR="00571716" w:rsidRPr="008749D8" w:rsidRDefault="007D49FF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>У</w:t>
      </w:r>
      <w:r w:rsidR="002B3753" w:rsidRPr="008749D8">
        <w:rPr>
          <w:rFonts w:ascii="Times New Roman" w:eastAsia="Times New Roman" w:hAnsi="Times New Roman" w:cs="Times New Roman"/>
          <w:sz w:val="23"/>
          <w:szCs w:val="23"/>
        </w:rPr>
        <w:t>казанный подход разъяснён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B3753" w:rsidRPr="008749D8">
        <w:rPr>
          <w:rFonts w:ascii="Times New Roman" w:eastAsia="Times New Roman" w:hAnsi="Times New Roman" w:cs="Times New Roman"/>
          <w:sz w:val="23"/>
          <w:szCs w:val="23"/>
        </w:rPr>
        <w:t>в п.</w:t>
      </w:r>
      <w:r w:rsidR="002F54EA" w:rsidRPr="008749D8">
        <w:rPr>
          <w:rFonts w:ascii="Times New Roman" w:eastAsia="Times New Roman" w:hAnsi="Times New Roman" w:cs="Times New Roman"/>
          <w:sz w:val="23"/>
          <w:szCs w:val="23"/>
        </w:rPr>
        <w:t xml:space="preserve"> 22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Обзора, согласно которому не может быть отказано в удовлетворении иска об оплате поставки товаров, выполнения 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бот или оказания услуг в целях удовл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творения государственных или муниц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пальных нужд в отсутствие госуда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ственного или муниципального контракта в случаях экстренного осуществления п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ставки товаров, выполнение работ или оказания услуг в связи с аварией, иной чрезвычайной ситуацией природного или техногенного характера</w:t>
      </w:r>
      <w:proofErr w:type="gramEnd"/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, а также угрозой их возникновения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 xml:space="preserve"> [6]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>рбитражный суд Томской области 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рассматриваемом споре о поставке угл</w:t>
      </w:r>
      <w:r w:rsidR="002679B4" w:rsidRPr="008749D8">
        <w:rPr>
          <w:rFonts w:ascii="Times New Roman" w:eastAsia="Times New Roman" w:hAnsi="Times New Roman" w:cs="Times New Roman"/>
          <w:sz w:val="23"/>
          <w:szCs w:val="23"/>
        </w:rPr>
        <w:t>я сверх установленных объёмов</w:t>
      </w:r>
      <w:r w:rsidR="002F54EA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679B4" w:rsidRPr="008749D8">
        <w:rPr>
          <w:rFonts w:ascii="Times New Roman" w:eastAsia="Times New Roman" w:hAnsi="Times New Roman" w:cs="Times New Roman"/>
          <w:sz w:val="23"/>
          <w:szCs w:val="23"/>
        </w:rPr>
        <w:t>пришё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л к выводу о том, что бездействие заказчика, выразившееся в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непроведении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конкурсов и </w:t>
      </w:r>
      <w:proofErr w:type="spellStart"/>
      <w:r w:rsidRPr="008749D8">
        <w:rPr>
          <w:rFonts w:ascii="Times New Roman" w:eastAsia="Times New Roman" w:hAnsi="Times New Roman" w:cs="Times New Roman"/>
          <w:sz w:val="23"/>
          <w:szCs w:val="23"/>
        </w:rPr>
        <w:t>незаключении</w:t>
      </w:r>
      <w:proofErr w:type="spell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муниципальных контра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тов в необходимый для бесперебойной поставки угля срок, не может служить основанием для отказа в оплате стоим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сти угля, фактически поставленного для </w:t>
      </w:r>
      <w:r w:rsidR="002F54EA" w:rsidRPr="008749D8">
        <w:rPr>
          <w:rFonts w:ascii="Times New Roman" w:eastAsia="Times New Roman" w:hAnsi="Times New Roman" w:cs="Times New Roman"/>
          <w:sz w:val="23"/>
          <w:szCs w:val="23"/>
        </w:rPr>
        <w:t>достижения указанных выше целей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[8].</w:t>
      </w:r>
      <w:proofErr w:type="gramEnd"/>
    </w:p>
    <w:p w:rsidR="00571716" w:rsidRPr="008749D8" w:rsidRDefault="002679B4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При этом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взыск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иваемая сумма расц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нивается судами как неосновательное обогащение.</w:t>
      </w:r>
      <w:r w:rsidR="001223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Однако социальная знач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мость работ </w:t>
      </w:r>
      <w:proofErr w:type="gramStart"/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является достаточно сложной для доказывания кате</w:t>
      </w:r>
      <w:r w:rsidR="002F54EA" w:rsidRPr="008749D8">
        <w:rPr>
          <w:rFonts w:ascii="Times New Roman" w:eastAsia="Times New Roman" w:hAnsi="Times New Roman" w:cs="Times New Roman"/>
          <w:sz w:val="23"/>
          <w:szCs w:val="23"/>
        </w:rPr>
        <w:t>горией и в каждом конкретном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случае</w:t>
      </w:r>
      <w:proofErr w:type="gramEnd"/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 будет зависе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ть от 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б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стоятельств дела и оценке представле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ных доказательств.</w:t>
      </w:r>
    </w:p>
    <w:p w:rsidR="00571716" w:rsidRPr="008749D8" w:rsidRDefault="002679B4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Ещё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одним критерием, учитываемым судами при оценке действий поставщиков и подрядчиков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является наличие согл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сия со стороны заказчика.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При наличии доказательств выраж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ния воли заказчика на проведение допо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нительных работ шансы на получение з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трат на проведение работ становятся зн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>чительно более высокими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[9]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  <w:r w:rsidR="001223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>В пост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96476D" w:rsidRPr="008749D8">
        <w:rPr>
          <w:rFonts w:ascii="Times New Roman" w:eastAsia="Times New Roman" w:hAnsi="Times New Roman" w:cs="Times New Roman"/>
          <w:sz w:val="23"/>
          <w:szCs w:val="23"/>
        </w:rPr>
        <w:t>новлении суда округа отмечено, что 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ветчиком не доказана возможность 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ы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полнения спорных работ путем заключ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ния нового контракта на более выгодных условиях. Доказательства сговора или злоупотребления правом, направленных на выполнение дополнительных работ в обход конкурсных процедур, в материалы дела не представлены.</w:t>
      </w:r>
    </w:p>
    <w:p w:rsidR="00571716" w:rsidRPr="008749D8" w:rsidRDefault="002679B4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При этом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спорные дополнительные работы по контракту требовались для д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стижения цели контракта, являлись бе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отлагательными, отвечали необходимым потребностям заказчика (публичног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 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б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разования), контракт заключё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 для в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ы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полнения работ по строительству соц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ально значимого объекта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коррекцио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ной школы для детей с отклонения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развитии, истец являлся единственным участником аукциона, иные желающие заключить контракт не заявлялись для участия в аукционе.</w:t>
      </w:r>
      <w:proofErr w:type="gramEnd"/>
    </w:p>
    <w:p w:rsidR="00571716" w:rsidRPr="008749D8" w:rsidRDefault="00CE0EF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В другом деле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судом отказано в опл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те дополнительно поставленного товара по причине отсутствия в материалах дела заявок заказчика на пост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вку</w:t>
      </w:r>
      <w:proofErr w:type="gram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товара, а также с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казано о не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обходимости соблюд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>ния норм 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акона</w:t>
      </w:r>
      <w:r w:rsidR="009E6132" w:rsidRPr="008749D8">
        <w:rPr>
          <w:rFonts w:ascii="Times New Roman" w:eastAsia="Times New Roman" w:hAnsi="Times New Roman" w:cs="Times New Roman"/>
          <w:sz w:val="23"/>
          <w:szCs w:val="23"/>
        </w:rPr>
        <w:t xml:space="preserve"> № 44-ФЗ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об изменении цены и количества поставки в пределах десяти процентов 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[10].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Хот</w:t>
      </w:r>
      <w:r w:rsidR="00CE0EF0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елось бы также отметить, что с 1 июля </w:t>
      </w:r>
      <w:r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2019</w:t>
      </w:r>
      <w:r w:rsidR="00CE0EF0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г. п. 1 ст.</w:t>
      </w:r>
      <w:r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95 Закона № 44-ФЗ </w:t>
      </w:r>
      <w:proofErr w:type="gramStart"/>
      <w:r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дополнен</w:t>
      </w:r>
      <w:proofErr w:type="gramEnd"/>
      <w:r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по</w:t>
      </w:r>
      <w:r w:rsidR="003D2675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дпунктом следующего с</w:t>
      </w:r>
      <w:r w:rsidR="003D2675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</w:t>
      </w:r>
      <w:r w:rsidR="003D2675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держания: </w:t>
      </w:r>
      <w:r w:rsidR="00EC4896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«</w:t>
      </w:r>
      <w:r w:rsidR="0012237E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</w:t>
      </w:r>
      <w:r w:rsidR="00FA5E27"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ри изменении объё</w:t>
      </w:r>
      <w:r w:rsidRPr="0012237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ма и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(или) видов выполняемых работ по ко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тракту, предметом которого является 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ы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полнение работ по строительству, реко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струкции, капитальному ремонту, сносу объекта капитального строительства, проведению работ по сохранению объе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тов культурного наследия. При </w:t>
      </w:r>
      <w:r w:rsidR="00DF43B1" w:rsidRPr="008749D8">
        <w:rPr>
          <w:rFonts w:ascii="Times New Roman" w:eastAsia="Times New Roman" w:hAnsi="Times New Roman" w:cs="Times New Roman"/>
          <w:sz w:val="23"/>
          <w:szCs w:val="23"/>
        </w:rPr>
        <w:t xml:space="preserve">этом </w:t>
      </w:r>
      <w:r w:rsidR="00DF43B1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д</w:t>
      </w:r>
      <w:r w:rsidR="00DF43B1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="00DF43B1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пускается изменение с учё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том </w:t>
      </w:r>
      <w:proofErr w:type="gramStart"/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положений бюджетного законодательства Российской Федерации цены контракта</w:t>
      </w:r>
      <w:proofErr w:type="gramEnd"/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не более чем на десять </w:t>
      </w:r>
      <w:r w:rsidR="00EC4896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процентов цены контракта»</w:t>
      </w:r>
      <w:r w:rsidR="009E641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[3].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Также для вышеуказанного перечня работ установлена возможность измен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ния цены контракта до тридцати проце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тов его цены, если при исполнении з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ключенного на срок не менее одного года контракта, цена которого составляет или превышает предельный размер (предел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ные размеры) цены, установленный Пр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вительством Российской Федерации, во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з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никли не</w:t>
      </w:r>
      <w:r w:rsidR="00DF43B1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зависящие от сторон контракта обстоятельства, влекущие невозможность его исполнения, в том числе необход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мость внесения изменений в проектную документацию. </w:t>
      </w:r>
      <w:proofErr w:type="gramEnd"/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Здес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ь прослеживается руководство ещё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одним принципом, позволяющим 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ступить от устано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енных рамок</w:t>
      </w:r>
      <w:r w:rsidR="00983DCD" w:rsidRPr="008749D8">
        <w:rPr>
          <w:rFonts w:ascii="Times New Roman" w:eastAsia="Times New Roman" w:hAnsi="Times New Roman" w:cs="Times New Roman"/>
          <w:sz w:val="23"/>
          <w:szCs w:val="23"/>
        </w:rPr>
        <w:t xml:space="preserve"> для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ц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 xml:space="preserve">ны контракта –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по не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зависящим от ст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рон контракта обстоятельствам, влек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щ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им невозможность его исполнения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Подводя черту под вышеизложенным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полагаем возможным выделить основные условия, допускающие 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оплату дополн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>тельно поставленного товара</w:t>
      </w:r>
      <w:r w:rsidR="003D2675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отсутствие соглашен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ия о превышении объё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ма п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ставки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: при наличии дополнительного соглашения к заключенному госуда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ственному контракту, социальной знач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мости либо с учетом чрезвычайного х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рактера или неотложности осуществля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мой поставк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случае, если данная п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ставка является обязательной для ко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кретного поставщика в силу предписаний закона, а также при наличии волеизъя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ления или</w:t>
      </w:r>
      <w:proofErr w:type="gramEnd"/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согласия заказчика на выпо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нение поставки товара. 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Учитывая сложность установления границы между публичными интересами, социальной значимостью и </w:t>
      </w:r>
      <w:r w:rsidR="00490FBC" w:rsidRPr="008749D8">
        <w:rPr>
          <w:rFonts w:ascii="Times New Roman" w:eastAsia="Times New Roman" w:hAnsi="Times New Roman" w:cs="Times New Roman"/>
          <w:sz w:val="23"/>
          <w:szCs w:val="23"/>
        </w:rPr>
        <w:t xml:space="preserve">поставкой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при отсутствии</w:t>
      </w:r>
      <w:r w:rsidR="00F33667"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контракта либо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дополнител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ного соглашения к государственному контракту с целью злоупотребления пр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вом, считаем целесообразным упомянуть о существовании в гражданском праве такого института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как действия в чужом интересе без поручительства.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Обязательства, возникающие в связи с совершением сделки одним лицом в 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тересах др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угого лица без его поручения, то есть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юридического действия, не упо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номоченным на то лицом, когда это также было вызвано неотложными обстоятел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ствами. Для возникновения рассматрив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емых гражданско-правовых обязательств необходимы условия, указанные в 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 xml:space="preserve">ст.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980 </w:t>
      </w:r>
      <w:r w:rsidR="00230AA4" w:rsidRPr="008749D8">
        <w:rPr>
          <w:rFonts w:ascii="Times New Roman" w:eastAsia="Times New Roman" w:hAnsi="Times New Roman" w:cs="Times New Roman"/>
          <w:sz w:val="23"/>
          <w:szCs w:val="23"/>
        </w:rPr>
        <w:t>ГК РФ (предотвращение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вреда, реально грозящего личности или имуществу заи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тересованного лица).</w:t>
      </w:r>
    </w:p>
    <w:p w:rsidR="00571716" w:rsidRPr="008749D8" w:rsidRDefault="00230AA4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Как подчё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ркивает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Е.А.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Суханов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де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й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ствия в чужом интересе должны сове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шаться исходя из очевидной выгоды или пользы заинтер</w:t>
      </w:r>
      <w:r w:rsidR="00513084" w:rsidRPr="008749D8">
        <w:rPr>
          <w:rFonts w:ascii="Times New Roman" w:eastAsia="Times New Roman" w:hAnsi="Times New Roman" w:cs="Times New Roman"/>
          <w:sz w:val="23"/>
          <w:szCs w:val="23"/>
        </w:rPr>
        <w:t>есованного лица, с во</w:t>
      </w:r>
      <w:r w:rsidR="00513084" w:rsidRPr="008749D8">
        <w:rPr>
          <w:rFonts w:ascii="Times New Roman" w:eastAsia="Times New Roman" w:hAnsi="Times New Roman" w:cs="Times New Roman"/>
          <w:sz w:val="23"/>
          <w:szCs w:val="23"/>
        </w:rPr>
        <w:t>з</w:t>
      </w:r>
      <w:r w:rsidR="00513084" w:rsidRPr="008749D8">
        <w:rPr>
          <w:rFonts w:ascii="Times New Roman" w:eastAsia="Times New Roman" w:hAnsi="Times New Roman" w:cs="Times New Roman"/>
          <w:sz w:val="23"/>
          <w:szCs w:val="23"/>
        </w:rPr>
        <w:t>можным учё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том его действительных или вероятных намерений. Действия в чужом интересе должны совершаться так, как их совершало бы само заинтересованное 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цо или, по крайней мере, разумный и 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ботливый участник оборота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 xml:space="preserve"> [4]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Учитывая, что гражданские права и обязанности возникают из оснований, предусмотренных законом и иными пр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вовыми актами, а также из действий граждан и юридических лиц, которые х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тя и не предусмотрены законом или 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кими актами, но в силу общих начал и смысла гражданского законодательства порождают </w:t>
      </w:r>
      <w:r w:rsidR="00F33667" w:rsidRPr="008749D8">
        <w:rPr>
          <w:rFonts w:ascii="Times New Roman" w:eastAsia="Times New Roman" w:hAnsi="Times New Roman" w:cs="Times New Roman"/>
          <w:sz w:val="23"/>
          <w:szCs w:val="23"/>
        </w:rPr>
        <w:t xml:space="preserve">гражданские права и </w:t>
      </w:r>
      <w:r w:rsidR="00F33667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обяза</w:t>
      </w:r>
      <w:r w:rsidR="00F33667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</w:t>
      </w:r>
      <w:r w:rsidR="00F33667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lastRenderedPageBreak/>
        <w:t>ности, а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также в соответствии с разъяснен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и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ями Постановления Пленума Верховного Суда Российской Федерации от 23</w:t>
      </w:r>
      <w:proofErr w:type="gramEnd"/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и</w:t>
      </w:r>
      <w:r w:rsidR="00513084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юня 2015 г.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№ 25 «О применении судами нек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торых положений раздела I части первой Гражданского кодекса Российской Федер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ции», в котором указано, что</w:t>
      </w:r>
      <w:r w:rsidR="00513084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,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оценивая де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й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ствий сторон как добросовестные или 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е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добросовестные, следует исходить из пов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е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дения, ожидаемого от любого участника гражданского оборота, учитывающего права и законные интересы другой стороны. 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Руководствуясь прин</w:t>
      </w:r>
      <w:r w:rsidR="00513084" w:rsidRPr="008749D8">
        <w:rPr>
          <w:rFonts w:ascii="Times New Roman" w:eastAsia="Times New Roman" w:hAnsi="Times New Roman" w:cs="Times New Roman"/>
          <w:sz w:val="23"/>
          <w:szCs w:val="23"/>
        </w:rPr>
        <w:t>ципом доброс</w:t>
      </w:r>
      <w:r w:rsidR="00513084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513084" w:rsidRPr="008749D8">
        <w:rPr>
          <w:rFonts w:ascii="Times New Roman" w:eastAsia="Times New Roman" w:hAnsi="Times New Roman" w:cs="Times New Roman"/>
          <w:sz w:val="23"/>
          <w:szCs w:val="23"/>
        </w:rPr>
        <w:t>вестности, закреплённом в ст.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1 ГК РФ, в совокупности с совершением действий, направленных на защиту интересов др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гих лиц, поставщики, учитывая важность и неотложность поставки, не терпящих отлагательства, в лице данного</w:t>
      </w:r>
      <w:r w:rsidR="003627AD" w:rsidRPr="008749D8">
        <w:rPr>
          <w:rFonts w:ascii="Times New Roman" w:eastAsia="Times New Roman" w:hAnsi="Times New Roman" w:cs="Times New Roman"/>
          <w:sz w:val="23"/>
          <w:szCs w:val="23"/>
        </w:rPr>
        <w:t xml:space="preserve"> института могли бы получить ещё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один способ, д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ющий возможность возмещения убытков, возникших при поставке товара.</w:t>
      </w:r>
    </w:p>
    <w:p w:rsidR="00571716" w:rsidRPr="008749D8" w:rsidRDefault="008266BD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Обращаясь к ст.</w:t>
      </w:r>
      <w:r w:rsidR="00003C00" w:rsidRPr="008749D8">
        <w:rPr>
          <w:rFonts w:ascii="Times New Roman" w:hAnsi="Times New Roman" w:cs="Times New Roman"/>
          <w:sz w:val="23"/>
          <w:szCs w:val="23"/>
        </w:rPr>
        <w:t xml:space="preserve"> 743 ГК РФ</w:t>
      </w:r>
      <w:r w:rsidR="00020880" w:rsidRPr="008749D8">
        <w:rPr>
          <w:rFonts w:ascii="Times New Roman" w:hAnsi="Times New Roman" w:cs="Times New Roman"/>
          <w:sz w:val="23"/>
          <w:szCs w:val="23"/>
        </w:rPr>
        <w:t>, можно заметить</w:t>
      </w:r>
      <w:r w:rsidR="00003C00" w:rsidRPr="008749D8">
        <w:rPr>
          <w:rFonts w:ascii="Times New Roman" w:hAnsi="Times New Roman" w:cs="Times New Roman"/>
          <w:sz w:val="23"/>
          <w:szCs w:val="23"/>
        </w:rPr>
        <w:t>, что законодатель имеет в</w:t>
      </w:r>
      <w:r w:rsidR="00020880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003C00" w:rsidRPr="008749D8">
        <w:rPr>
          <w:rFonts w:ascii="Times New Roman" w:hAnsi="Times New Roman" w:cs="Times New Roman"/>
          <w:sz w:val="23"/>
          <w:szCs w:val="23"/>
        </w:rPr>
        <w:t>ви</w:t>
      </w:r>
      <w:r w:rsidR="00020880" w:rsidRPr="008749D8">
        <w:rPr>
          <w:rFonts w:ascii="Times New Roman" w:hAnsi="Times New Roman" w:cs="Times New Roman"/>
          <w:sz w:val="23"/>
          <w:szCs w:val="23"/>
        </w:rPr>
        <w:t>ду под дополнительными работами: не учтё</w:t>
      </w:r>
      <w:r w:rsidR="00003C00" w:rsidRPr="008749D8">
        <w:rPr>
          <w:rFonts w:ascii="Times New Roman" w:hAnsi="Times New Roman" w:cs="Times New Roman"/>
          <w:sz w:val="23"/>
          <w:szCs w:val="23"/>
        </w:rPr>
        <w:t>нные в технической документации работы, необходимость проведения кот</w:t>
      </w:r>
      <w:r w:rsidR="00003C00" w:rsidRPr="008749D8">
        <w:rPr>
          <w:rFonts w:ascii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hAnsi="Times New Roman" w:cs="Times New Roman"/>
          <w:sz w:val="23"/>
          <w:szCs w:val="23"/>
        </w:rPr>
        <w:t>рых связана с увеличением общей сто</w:t>
      </w:r>
      <w:r w:rsidR="00003C00" w:rsidRPr="008749D8">
        <w:rPr>
          <w:rFonts w:ascii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hAnsi="Times New Roman" w:cs="Times New Roman"/>
          <w:sz w:val="23"/>
          <w:szCs w:val="23"/>
        </w:rPr>
        <w:t>мости контракта</w:t>
      </w:r>
      <w:r w:rsidR="009E6410" w:rsidRPr="008749D8">
        <w:rPr>
          <w:rFonts w:ascii="Times New Roman" w:hAnsi="Times New Roman" w:cs="Times New Roman"/>
          <w:sz w:val="23"/>
          <w:szCs w:val="23"/>
        </w:rPr>
        <w:t xml:space="preserve"> [1]</w:t>
      </w:r>
      <w:r w:rsidR="00003C00" w:rsidRPr="008749D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hAnsi="Times New Roman" w:cs="Times New Roman"/>
          <w:spacing w:val="-6"/>
          <w:sz w:val="23"/>
          <w:szCs w:val="23"/>
        </w:rPr>
        <w:t>В отношении поставки для госуда</w:t>
      </w:r>
      <w:r w:rsidRPr="0012237E">
        <w:rPr>
          <w:rFonts w:ascii="Times New Roman" w:hAnsi="Times New Roman" w:cs="Times New Roman"/>
          <w:spacing w:val="-6"/>
          <w:sz w:val="23"/>
          <w:szCs w:val="23"/>
        </w:rPr>
        <w:t>р</w:t>
      </w:r>
      <w:r w:rsidRPr="0012237E">
        <w:rPr>
          <w:rFonts w:ascii="Times New Roman" w:hAnsi="Times New Roman" w:cs="Times New Roman"/>
          <w:spacing w:val="-6"/>
          <w:sz w:val="23"/>
          <w:szCs w:val="23"/>
        </w:rPr>
        <w:t>ственных и муниципальных нужд ГК РФ не упоминает о возможности поставки товара сверх того, что указано в контракте.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Как известно из научной литературы, поставка товара для государственных нужд является разновидностью купли-продажи, на основании чего ей присущи пр</w:t>
      </w:r>
      <w:r w:rsidR="00833A41" w:rsidRPr="008749D8">
        <w:rPr>
          <w:rFonts w:ascii="Times New Roman" w:eastAsia="Times New Roman" w:hAnsi="Times New Roman" w:cs="Times New Roman"/>
          <w:sz w:val="23"/>
          <w:szCs w:val="23"/>
        </w:rPr>
        <w:t>изнаки и свойства купли-продажи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при наличии собственных особенностей 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ститута поставки товара для госуда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ственных нужд </w:t>
      </w:r>
      <w:r w:rsidR="009E6410" w:rsidRPr="008749D8">
        <w:rPr>
          <w:rFonts w:ascii="Times New Roman" w:eastAsia="Times New Roman" w:hAnsi="Times New Roman" w:cs="Times New Roman"/>
          <w:sz w:val="23"/>
          <w:szCs w:val="23"/>
        </w:rPr>
        <w:t>[5].</w:t>
      </w:r>
    </w:p>
    <w:p w:rsidR="00571716" w:rsidRPr="0012237E" w:rsidRDefault="008B680A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lastRenderedPageBreak/>
        <w:t xml:space="preserve">В настоящее время в </w:t>
      </w:r>
      <w:r w:rsidR="002E5858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ст. 511 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Г</w:t>
      </w:r>
      <w:r w:rsidR="002E5858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ражда</w:t>
      </w:r>
      <w:r w:rsidR="002E5858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</w:t>
      </w:r>
      <w:r w:rsidR="002E5858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ского кодекса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РФ 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предусмотрена только обязанность по поставке товара сверх но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мы в опред</w:t>
      </w:r>
      <w:r w:rsidR="00946F5E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е</w:t>
      </w:r>
      <w:r w:rsidR="002E5858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лё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нную партию товара, в случае недопоставки его в предыдущей партии. </w:t>
      </w:r>
    </w:p>
    <w:p w:rsidR="00571716" w:rsidRPr="0012237E" w:rsidRDefault="00B014BB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proofErr w:type="gramStart"/>
      <w:r w:rsidRPr="008749D8">
        <w:rPr>
          <w:rFonts w:ascii="Times New Roman" w:eastAsia="Times New Roman" w:hAnsi="Times New Roman" w:cs="Times New Roman"/>
          <w:sz w:val="23"/>
          <w:szCs w:val="23"/>
        </w:rPr>
        <w:t>Между тем приведё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нные выше инст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туты права, такие как неосновательное обогащение, действия без поручения в чужом интересе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,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не являются прямым 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правовым регулированием спорной ситу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ции и не могут в полной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мере заменить с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бой полноценную возможность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для поста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в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щиков осуществлять дополнительную п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ставку товаров, не рискуя при этом попасть в длительную судебную тяжбу, которая м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="00003C00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жет быть завершена не в их пользу.</w:t>
      </w:r>
      <w:proofErr w:type="gramEnd"/>
    </w:p>
    <w:p w:rsidR="00571716" w:rsidRPr="008749D8" w:rsidRDefault="00B014BB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Как видно из приведё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нных примеров судебной практики, отсутствие на зак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нодательном уровне возможности ос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ществлять дополнительную поставку т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вара при уже существующих между контрагентами правовых отношениях, приводит к дисбалансу прав и законных интересов поставщиков и заказчиков.</w:t>
      </w:r>
    </w:p>
    <w:p w:rsidR="00571716" w:rsidRPr="008749D8" w:rsidRDefault="00B014BB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В связи с этим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полагаем, что введение такой возможности, как поставка допо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нительного товара по уже существующ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е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му контракту на законодательном уровне освободит поставщиков от необоснова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ного риска, а заказч</w:t>
      </w:r>
      <w:r w:rsidR="00946F5E" w:rsidRPr="008749D8">
        <w:rPr>
          <w:rFonts w:ascii="Times New Roman" w:eastAsia="Times New Roman" w:hAnsi="Times New Roman" w:cs="Times New Roman"/>
          <w:sz w:val="23"/>
          <w:szCs w:val="23"/>
        </w:rPr>
        <w:t>ик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ов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от излишних закупочных процедур.</w:t>
      </w:r>
    </w:p>
    <w:p w:rsidR="00571716" w:rsidRPr="008749D8" w:rsidRDefault="00B014BB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При этом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считаем целесообразным применение поставщиками права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на п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ставку дополнительных объёмов товара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случаях, когда п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оставка осуществляется партиями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либо на постоянной основе.</w:t>
      </w:r>
    </w:p>
    <w:p w:rsidR="00571716" w:rsidRPr="0012237E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pacing w:val="-6"/>
          <w:sz w:val="23"/>
          <w:szCs w:val="23"/>
        </w:rPr>
      </w:pP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В ситуации, когда заказчик направил з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явку о необходимости поставки дополн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и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тельного товара, правоотношения конт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агентов носят длительный характер, при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н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цип эффективности гос</w:t>
      </w:r>
      <w:r w:rsidR="007D49FF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ударственных 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зак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у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lastRenderedPageBreak/>
        <w:t>пок и обеспечения гос</w:t>
      </w:r>
      <w:r w:rsidR="007D49FF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ударственных 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ор</w:t>
      </w:r>
      <w:r w:rsidR="00946F5E"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г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анов необходимыми товарами </w:t>
      </w:r>
      <w:proofErr w:type="gramStart"/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оказывается</w:t>
      </w:r>
      <w:proofErr w:type="gramEnd"/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пр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тивопоставлен императивным правилам с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о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блюдения правил об определении конк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у</w:t>
      </w:r>
      <w:r w:rsidRPr="0012237E">
        <w:rPr>
          <w:rFonts w:ascii="Times New Roman" w:eastAsia="Times New Roman" w:hAnsi="Times New Roman" w:cs="Times New Roman"/>
          <w:spacing w:val="-6"/>
          <w:sz w:val="23"/>
          <w:szCs w:val="23"/>
        </w:rPr>
        <w:t>рентными способами поставщика.</w:t>
      </w:r>
    </w:p>
    <w:p w:rsidR="00571716" w:rsidRPr="008749D8" w:rsidRDefault="000C7C0E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Между тем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в данном случае не пр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изойдет нарушение законодательства о контрактной системе, поскольку 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«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допо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нительная поставка</w:t>
      </w:r>
      <w:r w:rsidR="00346E6A" w:rsidRPr="008749D8">
        <w:rPr>
          <w:rFonts w:ascii="Times New Roman" w:eastAsia="Times New Roman" w:hAnsi="Times New Roman" w:cs="Times New Roman"/>
          <w:sz w:val="23"/>
          <w:szCs w:val="23"/>
        </w:rPr>
        <w:t>»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 не будет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являться новой закупкой, проведё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 xml:space="preserve">нной вне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рамок З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акона №</w:t>
      </w:r>
      <w:r w:rsidR="007D49FF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03C00" w:rsidRPr="008749D8">
        <w:rPr>
          <w:rFonts w:ascii="Times New Roman" w:eastAsia="Times New Roman" w:hAnsi="Times New Roman" w:cs="Times New Roman"/>
          <w:sz w:val="23"/>
          <w:szCs w:val="23"/>
        </w:rPr>
        <w:t>44-ФЗ.</w:t>
      </w:r>
    </w:p>
    <w:p w:rsidR="00571716" w:rsidRPr="008749D8" w:rsidRDefault="00003C00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eastAsia="Times New Roman" w:hAnsi="Times New Roman" w:cs="Times New Roman"/>
          <w:sz w:val="23"/>
          <w:szCs w:val="23"/>
        </w:rPr>
        <w:t>В связи с возникающим правовым подходом судов, и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зложенным в насто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я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щей статье, жё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сткими рамками, устано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ленными законодательством, регулир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у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ю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щими сферу закупок и тем самым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прив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дящими к возникновению 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убытков на стороне поставщиков,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пре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длагаем доб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вить в ст. 525 ГК РФ ч.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3, следующего содержания: «В случаях, не терпящих о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т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лагательств, социальной значимости, 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бо с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 xml:space="preserve"> учетом чрезвычайного характера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осуществляемой поставки, при наличии согласия заказчика, поставка товаров для государственных и муниципальных нужд может быть произведена на основании заказа на поставку товара</w:t>
      </w:r>
      <w:r w:rsidR="000C7C0E" w:rsidRPr="008749D8"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71716" w:rsidRPr="008749D8" w:rsidRDefault="00571716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C60CC1" w:rsidRPr="008749D8" w:rsidRDefault="00C60CC1" w:rsidP="00E97A10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749D8">
        <w:rPr>
          <w:rFonts w:ascii="Times New Roman" w:hAnsi="Times New Roman" w:cs="Times New Roman"/>
          <w:b/>
          <w:sz w:val="23"/>
          <w:szCs w:val="23"/>
        </w:rPr>
        <w:t xml:space="preserve">Список </w:t>
      </w:r>
      <w:r w:rsidR="000C7C0E" w:rsidRPr="008749D8">
        <w:rPr>
          <w:rFonts w:ascii="Times New Roman" w:hAnsi="Times New Roman" w:cs="Times New Roman"/>
          <w:b/>
          <w:sz w:val="23"/>
          <w:szCs w:val="23"/>
        </w:rPr>
        <w:t>использованных</w:t>
      </w:r>
      <w:r w:rsidR="00A854D6" w:rsidRPr="008749D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b/>
          <w:sz w:val="23"/>
          <w:szCs w:val="23"/>
        </w:rPr>
        <w:t>источников</w:t>
      </w:r>
    </w:p>
    <w:p w:rsidR="000C7C0E" w:rsidRPr="008749D8" w:rsidRDefault="000C7C0E" w:rsidP="00E97A10">
      <w:pPr>
        <w:widowControl w:val="0"/>
        <w:spacing w:after="0" w:line="312" w:lineRule="auto"/>
        <w:ind w:firstLine="340"/>
        <w:jc w:val="center"/>
        <w:rPr>
          <w:rFonts w:ascii="Times New Roman" w:hAnsi="Times New Roman" w:cs="Times New Roman"/>
          <w:sz w:val="23"/>
          <w:szCs w:val="23"/>
        </w:rPr>
      </w:pPr>
    </w:p>
    <w:p w:rsidR="00C60CC1" w:rsidRPr="008749D8" w:rsidRDefault="000C7C0E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1 Гражданский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C60CC1" w:rsidRPr="008749D8">
        <w:rPr>
          <w:rFonts w:ascii="Times New Roman" w:hAnsi="Times New Roman" w:cs="Times New Roman"/>
          <w:sz w:val="23"/>
          <w:szCs w:val="23"/>
        </w:rPr>
        <w:t>кодекс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C60CC1" w:rsidRPr="008749D8">
        <w:rPr>
          <w:rFonts w:ascii="Times New Roman" w:hAnsi="Times New Roman" w:cs="Times New Roman"/>
          <w:sz w:val="23"/>
          <w:szCs w:val="23"/>
        </w:rPr>
        <w:t>Российской Федерации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749D8">
        <w:rPr>
          <w:rFonts w:ascii="Times New Roman" w:hAnsi="Times New Roman" w:cs="Times New Roman"/>
          <w:sz w:val="23"/>
          <w:szCs w:val="23"/>
        </w:rPr>
        <w:t>федер</w:t>
      </w:r>
      <w:proofErr w:type="spellEnd"/>
      <w:r w:rsidRPr="008749D8">
        <w:rPr>
          <w:rFonts w:ascii="Times New Roman" w:hAnsi="Times New Roman" w:cs="Times New Roman"/>
          <w:sz w:val="23"/>
          <w:szCs w:val="23"/>
        </w:rPr>
        <w:t>. закон от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 xml:space="preserve">21.10.1994 </w:t>
      </w:r>
      <w:r w:rsidR="00C60CC1" w:rsidRPr="008749D8">
        <w:rPr>
          <w:rFonts w:ascii="Times New Roman" w:hAnsi="Times New Roman" w:cs="Times New Roman"/>
          <w:sz w:val="23"/>
          <w:szCs w:val="23"/>
        </w:rPr>
        <w:t>г. №</w:t>
      </w:r>
      <w:r w:rsidRPr="008749D8">
        <w:rPr>
          <w:rFonts w:ascii="Times New Roman" w:hAnsi="Times New Roman" w:cs="Times New Roman"/>
          <w:sz w:val="23"/>
          <w:szCs w:val="23"/>
        </w:rPr>
        <w:t xml:space="preserve"> 51-ФЗ</w:t>
      </w:r>
      <w:r w:rsidR="00C60CC1" w:rsidRPr="008749D8">
        <w:rPr>
          <w:rFonts w:ascii="Times New Roman" w:hAnsi="Times New Roman" w:cs="Times New Roman"/>
          <w:sz w:val="23"/>
          <w:szCs w:val="23"/>
        </w:rPr>
        <w:t xml:space="preserve"> //</w:t>
      </w:r>
      <w:r w:rsidR="00A854D6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>СЗ РФ.1994.</w:t>
      </w:r>
      <w:r w:rsidR="00C60CC1" w:rsidRPr="008749D8">
        <w:rPr>
          <w:rFonts w:ascii="Times New Roman" w:hAnsi="Times New Roman" w:cs="Times New Roman"/>
          <w:sz w:val="23"/>
          <w:szCs w:val="23"/>
        </w:rPr>
        <w:t xml:space="preserve"> №</w:t>
      </w:r>
      <w:r w:rsidRPr="008749D8">
        <w:rPr>
          <w:rFonts w:ascii="Times New Roman" w:hAnsi="Times New Roman" w:cs="Times New Roman"/>
          <w:sz w:val="23"/>
          <w:szCs w:val="23"/>
        </w:rPr>
        <w:t xml:space="preserve"> 32. </w:t>
      </w:r>
      <w:r w:rsidR="00C60CC1" w:rsidRPr="008749D8">
        <w:rPr>
          <w:rFonts w:ascii="Times New Roman" w:hAnsi="Times New Roman" w:cs="Times New Roman"/>
          <w:sz w:val="23"/>
          <w:szCs w:val="23"/>
        </w:rPr>
        <w:t>Ст. 3301.</w:t>
      </w:r>
    </w:p>
    <w:p w:rsidR="00C60CC1" w:rsidRPr="0012237E" w:rsidRDefault="000C7C0E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12237E">
        <w:rPr>
          <w:rFonts w:ascii="Times New Roman" w:hAnsi="Times New Roman" w:cs="Times New Roman"/>
          <w:sz w:val="23"/>
          <w:szCs w:val="23"/>
        </w:rPr>
        <w:t>2</w:t>
      </w:r>
      <w:r w:rsidR="00C60CC1" w:rsidRP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z w:val="23"/>
          <w:szCs w:val="23"/>
        </w:rPr>
        <w:t>О</w:t>
      </w:r>
      <w:r w:rsidR="00C44A39" w:rsidRP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z w:val="23"/>
          <w:szCs w:val="23"/>
        </w:rPr>
        <w:t>контрактной системе</w:t>
      </w:r>
      <w:r w:rsidR="00C44A39" w:rsidRPr="0012237E">
        <w:rPr>
          <w:rFonts w:ascii="Times New Roman" w:hAnsi="Times New Roman" w:cs="Times New Roman"/>
          <w:sz w:val="23"/>
          <w:szCs w:val="23"/>
        </w:rPr>
        <w:t xml:space="preserve"> </w:t>
      </w:r>
      <w:r w:rsidR="00C60CC1" w:rsidRPr="0012237E">
        <w:rPr>
          <w:rFonts w:ascii="Times New Roman" w:hAnsi="Times New Roman" w:cs="Times New Roman"/>
          <w:sz w:val="23"/>
          <w:szCs w:val="23"/>
        </w:rPr>
        <w:t>в</w:t>
      </w:r>
      <w:r w:rsidR="009F61F2" w:rsidRPr="0012237E">
        <w:rPr>
          <w:rFonts w:ascii="Times New Roman" w:hAnsi="Times New Roman" w:cs="Times New Roman"/>
          <w:sz w:val="23"/>
          <w:szCs w:val="23"/>
        </w:rPr>
        <w:t xml:space="preserve"> </w:t>
      </w:r>
      <w:r w:rsidR="00C60CC1" w:rsidRPr="0012237E">
        <w:rPr>
          <w:rFonts w:ascii="Times New Roman" w:hAnsi="Times New Roman" w:cs="Times New Roman"/>
          <w:sz w:val="23"/>
          <w:szCs w:val="23"/>
        </w:rPr>
        <w:t>сфере з</w:t>
      </w:r>
      <w:r w:rsidR="00C60CC1" w:rsidRPr="0012237E">
        <w:rPr>
          <w:rFonts w:ascii="Times New Roman" w:hAnsi="Times New Roman" w:cs="Times New Roman"/>
          <w:sz w:val="23"/>
          <w:szCs w:val="23"/>
        </w:rPr>
        <w:t>а</w:t>
      </w:r>
      <w:r w:rsidR="00C60CC1" w:rsidRPr="0012237E">
        <w:rPr>
          <w:rFonts w:ascii="Times New Roman" w:hAnsi="Times New Roman" w:cs="Times New Roman"/>
          <w:sz w:val="23"/>
          <w:szCs w:val="23"/>
        </w:rPr>
        <w:t>купок товаров, работ, услуг для обеспеч</w:t>
      </w:r>
      <w:r w:rsidR="00C60CC1" w:rsidRPr="0012237E">
        <w:rPr>
          <w:rFonts w:ascii="Times New Roman" w:hAnsi="Times New Roman" w:cs="Times New Roman"/>
          <w:sz w:val="23"/>
          <w:szCs w:val="23"/>
        </w:rPr>
        <w:t>е</w:t>
      </w:r>
      <w:r w:rsidR="00C60CC1" w:rsidRPr="0012237E">
        <w:rPr>
          <w:rFonts w:ascii="Times New Roman" w:hAnsi="Times New Roman" w:cs="Times New Roman"/>
          <w:sz w:val="23"/>
          <w:szCs w:val="23"/>
        </w:rPr>
        <w:t>ния госуд</w:t>
      </w:r>
      <w:r w:rsidRPr="0012237E">
        <w:rPr>
          <w:rFonts w:ascii="Times New Roman" w:hAnsi="Times New Roman" w:cs="Times New Roman"/>
          <w:sz w:val="23"/>
          <w:szCs w:val="23"/>
        </w:rPr>
        <w:t>арственных и муниципальных нужд</w:t>
      </w:r>
      <w:proofErr w:type="gramStart"/>
      <w:r w:rsidRPr="0012237E">
        <w:rPr>
          <w:rFonts w:ascii="Times New Roman" w:hAnsi="Times New Roman" w:cs="Times New Roman"/>
          <w:sz w:val="23"/>
          <w:szCs w:val="23"/>
        </w:rPr>
        <w:t xml:space="preserve">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Pr="0012237E">
        <w:rPr>
          <w:rFonts w:ascii="Times New Roman" w:hAnsi="Times New Roman" w:cs="Times New Roman"/>
          <w:sz w:val="23"/>
          <w:szCs w:val="23"/>
        </w:rPr>
        <w:t xml:space="preserve">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2237E">
        <w:rPr>
          <w:rFonts w:ascii="Times New Roman" w:hAnsi="Times New Roman" w:cs="Times New Roman"/>
          <w:sz w:val="23"/>
          <w:szCs w:val="23"/>
        </w:rPr>
        <w:t>федер</w:t>
      </w:r>
      <w:proofErr w:type="spellEnd"/>
      <w:r w:rsidRPr="0012237E">
        <w:rPr>
          <w:rFonts w:ascii="Times New Roman" w:hAnsi="Times New Roman" w:cs="Times New Roman"/>
          <w:sz w:val="23"/>
          <w:szCs w:val="23"/>
        </w:rPr>
        <w:t xml:space="preserve">.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z w:val="23"/>
          <w:szCs w:val="23"/>
        </w:rPr>
        <w:t xml:space="preserve">закон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z w:val="23"/>
          <w:szCs w:val="23"/>
        </w:rPr>
        <w:t xml:space="preserve">от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z w:val="23"/>
          <w:szCs w:val="23"/>
        </w:rPr>
        <w:t xml:space="preserve">05.04.2013 г. </w:t>
      </w:r>
      <w:r w:rsidR="0012237E">
        <w:rPr>
          <w:rFonts w:ascii="Times New Roman" w:hAnsi="Times New Roman" w:cs="Times New Roman"/>
          <w:sz w:val="23"/>
          <w:szCs w:val="23"/>
        </w:rPr>
        <w:t xml:space="preserve">  </w:t>
      </w:r>
      <w:r w:rsidRPr="0012237E">
        <w:rPr>
          <w:rFonts w:ascii="Times New Roman" w:hAnsi="Times New Roman" w:cs="Times New Roman"/>
          <w:sz w:val="23"/>
          <w:szCs w:val="23"/>
        </w:rPr>
        <w:t>№ 44-ФЗ // СЗ РФ. 2013.</w:t>
      </w:r>
      <w:r w:rsidR="00C60CC1" w:rsidRPr="0012237E">
        <w:rPr>
          <w:rFonts w:ascii="Times New Roman" w:hAnsi="Times New Roman" w:cs="Times New Roman"/>
          <w:sz w:val="23"/>
          <w:szCs w:val="23"/>
        </w:rPr>
        <w:t xml:space="preserve"> №</w:t>
      </w:r>
      <w:r w:rsidRPr="0012237E">
        <w:rPr>
          <w:rFonts w:ascii="Times New Roman" w:hAnsi="Times New Roman" w:cs="Times New Roman"/>
          <w:sz w:val="23"/>
          <w:szCs w:val="23"/>
        </w:rPr>
        <w:t xml:space="preserve"> 14.</w:t>
      </w:r>
      <w:r w:rsidR="00C60CC1" w:rsidRPr="0012237E">
        <w:rPr>
          <w:rFonts w:ascii="Times New Roman" w:hAnsi="Times New Roman" w:cs="Times New Roman"/>
          <w:sz w:val="23"/>
          <w:szCs w:val="23"/>
        </w:rPr>
        <w:t xml:space="preserve"> Ст. 1652.</w:t>
      </w:r>
    </w:p>
    <w:p w:rsidR="00140AD0" w:rsidRPr="008749D8" w:rsidRDefault="000C7C0E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3</w:t>
      </w:r>
      <w:r w:rsidR="00140AD0" w:rsidRPr="008749D8">
        <w:rPr>
          <w:rFonts w:ascii="Times New Roman" w:hAnsi="Times New Roman" w:cs="Times New Roman"/>
          <w:sz w:val="23"/>
          <w:szCs w:val="23"/>
        </w:rPr>
        <w:t xml:space="preserve"> О внесении изменений в Федерал</w:t>
      </w:r>
      <w:r w:rsidR="00140AD0" w:rsidRPr="008749D8">
        <w:rPr>
          <w:rFonts w:ascii="Times New Roman" w:hAnsi="Times New Roman" w:cs="Times New Roman"/>
          <w:sz w:val="23"/>
          <w:szCs w:val="23"/>
        </w:rPr>
        <w:t>ь</w:t>
      </w:r>
      <w:r w:rsidR="00140AD0" w:rsidRPr="008749D8">
        <w:rPr>
          <w:rFonts w:ascii="Times New Roman" w:hAnsi="Times New Roman" w:cs="Times New Roman"/>
          <w:sz w:val="23"/>
          <w:szCs w:val="23"/>
        </w:rPr>
        <w:t>ный закон «О контрактной системе в сф</w:t>
      </w:r>
      <w:r w:rsidR="00140AD0" w:rsidRPr="008749D8">
        <w:rPr>
          <w:rFonts w:ascii="Times New Roman" w:hAnsi="Times New Roman" w:cs="Times New Roman"/>
          <w:sz w:val="23"/>
          <w:szCs w:val="23"/>
        </w:rPr>
        <w:t>е</w:t>
      </w:r>
      <w:r w:rsidR="00140AD0" w:rsidRPr="008749D8">
        <w:rPr>
          <w:rFonts w:ascii="Times New Roman" w:hAnsi="Times New Roman" w:cs="Times New Roman"/>
          <w:sz w:val="23"/>
          <w:szCs w:val="23"/>
        </w:rPr>
        <w:t xml:space="preserve">ре закупок товаров, работ, услуг для </w:t>
      </w:r>
      <w:r w:rsidR="00140AD0" w:rsidRPr="008749D8">
        <w:rPr>
          <w:rFonts w:ascii="Times New Roman" w:hAnsi="Times New Roman" w:cs="Times New Roman"/>
          <w:sz w:val="23"/>
          <w:szCs w:val="23"/>
        </w:rPr>
        <w:lastRenderedPageBreak/>
        <w:t>обеспечения государственных и муниц</w:t>
      </w:r>
      <w:r w:rsidR="00140AD0" w:rsidRPr="008749D8">
        <w:rPr>
          <w:rFonts w:ascii="Times New Roman" w:hAnsi="Times New Roman" w:cs="Times New Roman"/>
          <w:sz w:val="23"/>
          <w:szCs w:val="23"/>
        </w:rPr>
        <w:t>и</w:t>
      </w:r>
      <w:r w:rsidR="00140AD0" w:rsidRPr="008749D8">
        <w:rPr>
          <w:rFonts w:ascii="Times New Roman" w:hAnsi="Times New Roman" w:cs="Times New Roman"/>
          <w:sz w:val="23"/>
          <w:szCs w:val="23"/>
        </w:rPr>
        <w:t>пальных нужд»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749D8">
        <w:rPr>
          <w:rFonts w:ascii="Times New Roman" w:hAnsi="Times New Roman" w:cs="Times New Roman"/>
          <w:sz w:val="23"/>
          <w:szCs w:val="23"/>
        </w:rPr>
        <w:t>федер</w:t>
      </w:r>
      <w:proofErr w:type="spellEnd"/>
      <w:r w:rsidRPr="008749D8">
        <w:rPr>
          <w:rFonts w:ascii="Times New Roman" w:hAnsi="Times New Roman" w:cs="Times New Roman"/>
          <w:sz w:val="23"/>
          <w:szCs w:val="23"/>
        </w:rPr>
        <w:t xml:space="preserve">. закон от 01.05.2019 г.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>№ 71-ФЗ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 xml:space="preserve"> //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 xml:space="preserve">СЗ РФ. </w:t>
      </w:r>
      <w:r w:rsidR="0012237E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 xml:space="preserve">2019. </w:t>
      </w:r>
      <w:r w:rsidR="00140AD0" w:rsidRPr="008749D8">
        <w:rPr>
          <w:rFonts w:ascii="Times New Roman" w:hAnsi="Times New Roman" w:cs="Times New Roman"/>
          <w:sz w:val="23"/>
          <w:szCs w:val="23"/>
        </w:rPr>
        <w:t>№</w:t>
      </w:r>
      <w:r w:rsidRPr="008749D8">
        <w:rPr>
          <w:rFonts w:ascii="Times New Roman" w:hAnsi="Times New Roman" w:cs="Times New Roman"/>
          <w:sz w:val="23"/>
          <w:szCs w:val="23"/>
        </w:rPr>
        <w:t xml:space="preserve"> 18.</w:t>
      </w:r>
      <w:r w:rsidR="00140AD0" w:rsidRPr="008749D8">
        <w:rPr>
          <w:rFonts w:ascii="Times New Roman" w:hAnsi="Times New Roman" w:cs="Times New Roman"/>
          <w:sz w:val="23"/>
          <w:szCs w:val="23"/>
        </w:rPr>
        <w:t xml:space="preserve"> Ст. 2195.</w:t>
      </w:r>
    </w:p>
    <w:p w:rsidR="009E6410" w:rsidRPr="008749D8" w:rsidRDefault="000C7C0E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4</w:t>
      </w:r>
      <w:r w:rsidR="005674CA" w:rsidRPr="008749D8">
        <w:rPr>
          <w:rFonts w:ascii="Times New Roman" w:hAnsi="Times New Roman" w:cs="Times New Roman"/>
          <w:sz w:val="23"/>
          <w:szCs w:val="23"/>
        </w:rPr>
        <w:t xml:space="preserve"> Суханов</w:t>
      </w:r>
      <w:r w:rsidRPr="008749D8">
        <w:rPr>
          <w:rFonts w:ascii="Times New Roman" w:hAnsi="Times New Roman" w:cs="Times New Roman"/>
          <w:sz w:val="23"/>
          <w:szCs w:val="23"/>
        </w:rPr>
        <w:t>,</w:t>
      </w:r>
      <w:r w:rsidR="005674CA" w:rsidRPr="008749D8">
        <w:rPr>
          <w:rFonts w:ascii="Times New Roman" w:hAnsi="Times New Roman" w:cs="Times New Roman"/>
          <w:sz w:val="23"/>
          <w:szCs w:val="23"/>
        </w:rPr>
        <w:t xml:space="preserve"> Е.</w:t>
      </w:r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5674CA" w:rsidRPr="008749D8">
        <w:rPr>
          <w:rFonts w:ascii="Times New Roman" w:hAnsi="Times New Roman" w:cs="Times New Roman"/>
          <w:sz w:val="23"/>
          <w:szCs w:val="23"/>
        </w:rPr>
        <w:t xml:space="preserve">А. </w:t>
      </w:r>
      <w:r w:rsidR="004159C7" w:rsidRPr="008749D8">
        <w:rPr>
          <w:rFonts w:ascii="Times New Roman" w:hAnsi="Times New Roman" w:cs="Times New Roman"/>
          <w:sz w:val="23"/>
          <w:szCs w:val="23"/>
        </w:rPr>
        <w:t>Гражданское право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8749D8">
        <w:rPr>
          <w:rFonts w:ascii="Times New Roman" w:hAnsi="Times New Roman" w:cs="Times New Roman"/>
          <w:sz w:val="23"/>
          <w:szCs w:val="23"/>
        </w:rPr>
        <w:t xml:space="preserve"> учебник : в 4 т</w:t>
      </w:r>
      <w:r w:rsidR="004159C7" w:rsidRPr="008749D8">
        <w:rPr>
          <w:rFonts w:ascii="Times New Roman" w:hAnsi="Times New Roman" w:cs="Times New Roman"/>
          <w:sz w:val="23"/>
          <w:szCs w:val="23"/>
        </w:rPr>
        <w:t>.</w:t>
      </w:r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>–</w:t>
      </w:r>
      <w:r w:rsidRPr="008749D8">
        <w:rPr>
          <w:rFonts w:ascii="Times New Roman" w:hAnsi="Times New Roman" w:cs="Times New Roman"/>
          <w:sz w:val="23"/>
          <w:szCs w:val="23"/>
        </w:rPr>
        <w:t xml:space="preserve"> 3-е изд., </w:t>
      </w:r>
      <w:proofErr w:type="spellStart"/>
      <w:r w:rsidRPr="008749D8">
        <w:rPr>
          <w:rFonts w:ascii="Times New Roman" w:hAnsi="Times New Roman" w:cs="Times New Roman"/>
          <w:sz w:val="23"/>
          <w:szCs w:val="23"/>
        </w:rPr>
        <w:t>перераб</w:t>
      </w:r>
      <w:proofErr w:type="spellEnd"/>
      <w:r w:rsidRPr="008749D8">
        <w:rPr>
          <w:rFonts w:ascii="Times New Roman" w:hAnsi="Times New Roman" w:cs="Times New Roman"/>
          <w:sz w:val="23"/>
          <w:szCs w:val="23"/>
        </w:rPr>
        <w:t>. и доп</w:t>
      </w:r>
      <w:r w:rsidR="004159C7" w:rsidRPr="008749D8">
        <w:rPr>
          <w:rFonts w:ascii="Times New Roman" w:hAnsi="Times New Roman" w:cs="Times New Roman"/>
          <w:sz w:val="23"/>
          <w:szCs w:val="23"/>
        </w:rPr>
        <w:t>.</w:t>
      </w:r>
      <w:r w:rsidRPr="008749D8">
        <w:rPr>
          <w:rFonts w:ascii="Times New Roman" w:hAnsi="Times New Roman" w:cs="Times New Roman"/>
          <w:sz w:val="23"/>
          <w:szCs w:val="23"/>
        </w:rPr>
        <w:t xml:space="preserve"> /</w:t>
      </w:r>
      <w:r w:rsidR="004159C7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 xml:space="preserve">Е. А. Суханов. </w:t>
      </w:r>
      <w:r w:rsidR="004159C7" w:rsidRPr="008749D8">
        <w:rPr>
          <w:rFonts w:ascii="Times New Roman" w:hAnsi="Times New Roman" w:cs="Times New Roman"/>
          <w:sz w:val="23"/>
          <w:szCs w:val="23"/>
        </w:rPr>
        <w:t>М.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4159C7" w:rsidRPr="008749D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59C7" w:rsidRPr="008749D8">
        <w:rPr>
          <w:rFonts w:ascii="Times New Roman" w:hAnsi="Times New Roman" w:cs="Times New Roman"/>
          <w:sz w:val="23"/>
          <w:szCs w:val="23"/>
        </w:rPr>
        <w:t>Волтерс</w:t>
      </w:r>
      <w:proofErr w:type="spellEnd"/>
      <w:r w:rsidR="004159C7" w:rsidRPr="008749D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59C7" w:rsidRPr="008749D8">
        <w:rPr>
          <w:rFonts w:ascii="Times New Roman" w:hAnsi="Times New Roman" w:cs="Times New Roman"/>
          <w:sz w:val="23"/>
          <w:szCs w:val="23"/>
        </w:rPr>
        <w:t>Клувер</w:t>
      </w:r>
      <w:proofErr w:type="spellEnd"/>
      <w:r w:rsidR="00903F27" w:rsidRPr="008749D8">
        <w:rPr>
          <w:rFonts w:ascii="Times New Roman" w:hAnsi="Times New Roman" w:cs="Times New Roman"/>
          <w:sz w:val="23"/>
          <w:szCs w:val="23"/>
        </w:rPr>
        <w:t xml:space="preserve">, 2006. </w:t>
      </w:r>
      <w:r w:rsidRPr="008749D8">
        <w:rPr>
          <w:rFonts w:ascii="Times New Roman" w:hAnsi="Times New Roman" w:cs="Times New Roman"/>
          <w:sz w:val="23"/>
          <w:szCs w:val="23"/>
        </w:rPr>
        <w:t xml:space="preserve">Т. 4. </w:t>
      </w:r>
      <w:r w:rsidR="00903F27" w:rsidRPr="008749D8">
        <w:rPr>
          <w:rFonts w:ascii="Times New Roman" w:hAnsi="Times New Roman" w:cs="Times New Roman"/>
          <w:sz w:val="23"/>
          <w:szCs w:val="23"/>
        </w:rPr>
        <w:t>С. 591.</w:t>
      </w:r>
    </w:p>
    <w:p w:rsidR="00C60CC1" w:rsidRPr="0012237E" w:rsidRDefault="000C7C0E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pacing w:val="-8"/>
          <w:sz w:val="23"/>
          <w:szCs w:val="23"/>
        </w:rPr>
      </w:pPr>
      <w:r w:rsidRPr="0012237E">
        <w:rPr>
          <w:rFonts w:ascii="Times New Roman" w:hAnsi="Times New Roman" w:cs="Times New Roman"/>
          <w:spacing w:val="-8"/>
          <w:sz w:val="23"/>
          <w:szCs w:val="23"/>
        </w:rPr>
        <w:t>5</w:t>
      </w:r>
      <w:r w:rsidR="00C60CC1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>Романец</w:t>
      </w:r>
      <w:r w:rsidRPr="0012237E">
        <w:rPr>
          <w:rFonts w:ascii="Times New Roman" w:hAnsi="Times New Roman" w:cs="Times New Roman"/>
          <w:spacing w:val="-8"/>
          <w:sz w:val="23"/>
          <w:szCs w:val="23"/>
        </w:rPr>
        <w:t>,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Ю.</w:t>
      </w:r>
      <w:r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>В. Система договоров в гражданском праве России</w:t>
      </w:r>
      <w:proofErr w:type="gramStart"/>
      <w:r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>:</w:t>
      </w:r>
      <w:proofErr w:type="gramEnd"/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монография. </w:t>
      </w:r>
      <w:r w:rsidR="0065169C" w:rsidRPr="0012237E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– 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2-е изд., </w:t>
      </w:r>
      <w:proofErr w:type="spellStart"/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>перераб</w:t>
      </w:r>
      <w:proofErr w:type="spellEnd"/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. и доп. </w:t>
      </w:r>
      <w:r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/ Ю. В. Романец. 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>М.</w:t>
      </w:r>
      <w:proofErr w:type="gramStart"/>
      <w:r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:</w:t>
      </w:r>
      <w:proofErr w:type="gramEnd"/>
      <w:r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Норма;</w:t>
      </w:r>
      <w:r w:rsidR="009E6410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Инфра-М, 2013.</w:t>
      </w:r>
      <w:r w:rsidR="00903F27" w:rsidRPr="0012237E">
        <w:rPr>
          <w:rFonts w:ascii="Times New Roman" w:hAnsi="Times New Roman" w:cs="Times New Roman"/>
          <w:spacing w:val="-8"/>
          <w:sz w:val="23"/>
          <w:szCs w:val="23"/>
        </w:rPr>
        <w:t xml:space="preserve"> С. 496</w:t>
      </w:r>
      <w:r w:rsidRPr="0012237E">
        <w:rPr>
          <w:rFonts w:ascii="Times New Roman" w:hAnsi="Times New Roman" w:cs="Times New Roman"/>
          <w:spacing w:val="-8"/>
          <w:sz w:val="23"/>
          <w:szCs w:val="23"/>
        </w:rPr>
        <w:t>.</w:t>
      </w:r>
    </w:p>
    <w:p w:rsidR="00C60CC1" w:rsidRPr="008749D8" w:rsidRDefault="009E6410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6</w:t>
      </w:r>
      <w:r w:rsidR="00C60CC1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Pr="008749D8">
        <w:rPr>
          <w:rFonts w:ascii="Times New Roman" w:hAnsi="Times New Roman" w:cs="Times New Roman"/>
          <w:sz w:val="23"/>
          <w:szCs w:val="23"/>
        </w:rPr>
        <w:t>Обзор судебной практики примен</w:t>
      </w:r>
      <w:r w:rsidRPr="008749D8">
        <w:rPr>
          <w:rFonts w:ascii="Times New Roman" w:hAnsi="Times New Roman" w:cs="Times New Roman"/>
          <w:sz w:val="23"/>
          <w:szCs w:val="23"/>
        </w:rPr>
        <w:t>е</w:t>
      </w:r>
      <w:r w:rsidRPr="008749D8">
        <w:rPr>
          <w:rFonts w:ascii="Times New Roman" w:hAnsi="Times New Roman" w:cs="Times New Roman"/>
          <w:sz w:val="23"/>
          <w:szCs w:val="23"/>
        </w:rPr>
        <w:t>ния законодательства Российской Фед</w:t>
      </w:r>
      <w:r w:rsidRPr="008749D8">
        <w:rPr>
          <w:rFonts w:ascii="Times New Roman" w:hAnsi="Times New Roman" w:cs="Times New Roman"/>
          <w:sz w:val="23"/>
          <w:szCs w:val="23"/>
        </w:rPr>
        <w:t>е</w:t>
      </w:r>
      <w:r w:rsidRPr="008749D8">
        <w:rPr>
          <w:rFonts w:ascii="Times New Roman" w:hAnsi="Times New Roman" w:cs="Times New Roman"/>
          <w:sz w:val="23"/>
          <w:szCs w:val="23"/>
        </w:rPr>
        <w:t>рации о контрактной системе в сфере з</w:t>
      </w:r>
      <w:r w:rsidRPr="008749D8">
        <w:rPr>
          <w:rFonts w:ascii="Times New Roman" w:hAnsi="Times New Roman" w:cs="Times New Roman"/>
          <w:sz w:val="23"/>
          <w:szCs w:val="23"/>
        </w:rPr>
        <w:t>а</w:t>
      </w:r>
      <w:r w:rsidRPr="008749D8">
        <w:rPr>
          <w:rFonts w:ascii="Times New Roman" w:hAnsi="Times New Roman" w:cs="Times New Roman"/>
          <w:sz w:val="23"/>
          <w:szCs w:val="23"/>
        </w:rPr>
        <w:t>купок товаров, работ, услуг для обеспеч</w:t>
      </w:r>
      <w:r w:rsidRPr="008749D8">
        <w:rPr>
          <w:rFonts w:ascii="Times New Roman" w:hAnsi="Times New Roman" w:cs="Times New Roman"/>
          <w:sz w:val="23"/>
          <w:szCs w:val="23"/>
        </w:rPr>
        <w:t>е</w:t>
      </w:r>
      <w:r w:rsidRPr="008749D8">
        <w:rPr>
          <w:rFonts w:ascii="Times New Roman" w:hAnsi="Times New Roman" w:cs="Times New Roman"/>
          <w:sz w:val="23"/>
          <w:szCs w:val="23"/>
        </w:rPr>
        <w:t>ния госуда</w:t>
      </w:r>
      <w:r w:rsidR="000C7C0E" w:rsidRPr="008749D8">
        <w:rPr>
          <w:rFonts w:ascii="Times New Roman" w:hAnsi="Times New Roman" w:cs="Times New Roman"/>
          <w:sz w:val="23"/>
          <w:szCs w:val="23"/>
        </w:rPr>
        <w:t>рственных и муниципальных нужд // Справ</w:t>
      </w:r>
      <w:proofErr w:type="gramStart"/>
      <w:r w:rsidR="000C7C0E" w:rsidRPr="008749D8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="000C7C0E" w:rsidRPr="008749D8">
        <w:rPr>
          <w:rFonts w:ascii="Times New Roman" w:hAnsi="Times New Roman" w:cs="Times New Roman"/>
          <w:sz w:val="23"/>
          <w:szCs w:val="23"/>
        </w:rPr>
        <w:t>прав. система</w:t>
      </w:r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0C7C0E" w:rsidRPr="008749D8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Pr="008749D8">
        <w:rPr>
          <w:rFonts w:ascii="Times New Roman" w:hAnsi="Times New Roman" w:cs="Times New Roman"/>
          <w:sz w:val="23"/>
          <w:szCs w:val="23"/>
        </w:rPr>
        <w:t>Консул</w:t>
      </w:r>
      <w:r w:rsidRPr="008749D8">
        <w:rPr>
          <w:rFonts w:ascii="Times New Roman" w:hAnsi="Times New Roman" w:cs="Times New Roman"/>
          <w:sz w:val="23"/>
          <w:szCs w:val="23"/>
        </w:rPr>
        <w:t>ь</w:t>
      </w:r>
      <w:r w:rsidRPr="008749D8">
        <w:rPr>
          <w:rFonts w:ascii="Times New Roman" w:hAnsi="Times New Roman" w:cs="Times New Roman"/>
          <w:sz w:val="23"/>
          <w:szCs w:val="23"/>
        </w:rPr>
        <w:t>тантПлюс</w:t>
      </w:r>
      <w:proofErr w:type="spellEnd"/>
      <w:r w:rsidR="000C7C0E" w:rsidRPr="008749D8">
        <w:rPr>
          <w:rFonts w:ascii="Times New Roman" w:hAnsi="Times New Roman" w:cs="Times New Roman"/>
          <w:sz w:val="23"/>
          <w:szCs w:val="23"/>
        </w:rPr>
        <w:t>»</w:t>
      </w:r>
      <w:r w:rsidRPr="008749D8">
        <w:rPr>
          <w:rFonts w:ascii="Times New Roman" w:hAnsi="Times New Roman" w:cs="Times New Roman"/>
          <w:sz w:val="23"/>
          <w:szCs w:val="23"/>
        </w:rPr>
        <w:t>. 2019</w:t>
      </w:r>
      <w:r w:rsidR="00C60CC1" w:rsidRPr="008749D8">
        <w:rPr>
          <w:rFonts w:ascii="Times New Roman" w:hAnsi="Times New Roman" w:cs="Times New Roman"/>
          <w:sz w:val="23"/>
          <w:szCs w:val="23"/>
        </w:rPr>
        <w:t>.</w:t>
      </w:r>
    </w:p>
    <w:p w:rsidR="000B32CE" w:rsidRPr="008749D8" w:rsidRDefault="0065169C" w:rsidP="00E97A10">
      <w:pPr>
        <w:widowControl w:val="0"/>
        <w:spacing w:after="0" w:line="312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7</w:t>
      </w:r>
      <w:r w:rsidR="000B32CE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Определение Верховного суда Ро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с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сийской Федерации от 23.09.2016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г.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по делу №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306-ЭС16-11332 по делу №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А57-12421/2015</w:t>
      </w:r>
      <w:r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// </w:t>
      </w:r>
      <w:r w:rsidRPr="008749D8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Pr="008749D8">
        <w:rPr>
          <w:rFonts w:ascii="Times New Roman" w:hAnsi="Times New Roman" w:cs="Times New Roman"/>
          <w:sz w:val="23"/>
          <w:szCs w:val="23"/>
        </w:rPr>
        <w:t>прав. система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«</w:t>
      </w:r>
      <w:proofErr w:type="spellStart"/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Ко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н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сультантПлюс</w:t>
      </w:r>
      <w:proofErr w:type="spellEnd"/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>». 2019.</w:t>
      </w:r>
    </w:p>
    <w:p w:rsidR="00EC4896" w:rsidRPr="0012237E" w:rsidRDefault="00EC4896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pacing w:val="6"/>
          <w:sz w:val="23"/>
          <w:szCs w:val="23"/>
        </w:rPr>
      </w:pPr>
      <w:r w:rsidRPr="0012237E">
        <w:rPr>
          <w:rFonts w:ascii="Times New Roman" w:hAnsi="Times New Roman" w:cs="Times New Roman"/>
          <w:spacing w:val="6"/>
          <w:sz w:val="23"/>
          <w:szCs w:val="23"/>
        </w:rPr>
        <w:t>8</w:t>
      </w:r>
      <w:r w:rsidR="00C60CC1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>Постановление Арбитражного с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>у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>да Западно-Сибирского округа от 05.0</w:t>
      </w:r>
      <w:r w:rsidR="00C44A39" w:rsidRPr="0012237E">
        <w:rPr>
          <w:rFonts w:ascii="Times New Roman" w:hAnsi="Times New Roman" w:cs="Times New Roman"/>
          <w:spacing w:val="6"/>
          <w:sz w:val="23"/>
          <w:szCs w:val="23"/>
        </w:rPr>
        <w:t>7.2018</w:t>
      </w:r>
      <w:r w:rsidR="0065169C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г.</w:t>
      </w:r>
      <w:r w:rsidR="00C44A39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№ Ф04-2399/2018 по делу №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А67-1870/2016 //</w:t>
      </w:r>
      <w:r w:rsidR="0065169C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Справ</w:t>
      </w:r>
      <w:proofErr w:type="gramStart"/>
      <w:r w:rsidR="0065169C" w:rsidRPr="0012237E">
        <w:rPr>
          <w:rFonts w:ascii="Times New Roman" w:hAnsi="Times New Roman" w:cs="Times New Roman"/>
          <w:spacing w:val="6"/>
          <w:sz w:val="23"/>
          <w:szCs w:val="23"/>
        </w:rPr>
        <w:t>.-</w:t>
      </w:r>
      <w:proofErr w:type="gramEnd"/>
      <w:r w:rsidR="0065169C" w:rsidRPr="0012237E">
        <w:rPr>
          <w:rFonts w:ascii="Times New Roman" w:hAnsi="Times New Roman" w:cs="Times New Roman"/>
          <w:spacing w:val="6"/>
          <w:sz w:val="23"/>
          <w:szCs w:val="23"/>
        </w:rPr>
        <w:t>прав. с</w:t>
      </w:r>
      <w:r w:rsidR="0065169C" w:rsidRPr="0012237E">
        <w:rPr>
          <w:rFonts w:ascii="Times New Roman" w:hAnsi="Times New Roman" w:cs="Times New Roman"/>
          <w:spacing w:val="6"/>
          <w:sz w:val="23"/>
          <w:szCs w:val="23"/>
        </w:rPr>
        <w:t>и</w:t>
      </w:r>
      <w:r w:rsidR="0065169C" w:rsidRPr="0012237E">
        <w:rPr>
          <w:rFonts w:ascii="Times New Roman" w:hAnsi="Times New Roman" w:cs="Times New Roman"/>
          <w:spacing w:val="6"/>
          <w:sz w:val="23"/>
          <w:szCs w:val="23"/>
        </w:rPr>
        <w:t>стема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«</w:t>
      </w:r>
      <w:proofErr w:type="spellStart"/>
      <w:r w:rsidRPr="0012237E">
        <w:rPr>
          <w:rFonts w:ascii="Times New Roman" w:hAnsi="Times New Roman" w:cs="Times New Roman"/>
          <w:spacing w:val="6"/>
          <w:sz w:val="23"/>
          <w:szCs w:val="23"/>
        </w:rPr>
        <w:t>КонсультантПлюс</w:t>
      </w:r>
      <w:proofErr w:type="spellEnd"/>
      <w:r w:rsidRPr="0012237E">
        <w:rPr>
          <w:rFonts w:ascii="Times New Roman" w:hAnsi="Times New Roman" w:cs="Times New Roman"/>
          <w:spacing w:val="6"/>
          <w:sz w:val="23"/>
          <w:szCs w:val="23"/>
        </w:rPr>
        <w:t>». 2019.</w:t>
      </w:r>
    </w:p>
    <w:p w:rsidR="00EC4896" w:rsidRPr="0012237E" w:rsidRDefault="0065169C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pacing w:val="6"/>
          <w:sz w:val="23"/>
          <w:szCs w:val="23"/>
        </w:rPr>
      </w:pPr>
      <w:r w:rsidRPr="0012237E">
        <w:rPr>
          <w:rFonts w:ascii="Times New Roman" w:hAnsi="Times New Roman" w:cs="Times New Roman"/>
          <w:spacing w:val="6"/>
          <w:sz w:val="23"/>
          <w:szCs w:val="23"/>
        </w:rPr>
        <w:t>9</w:t>
      </w:r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Постановление Арбитражного с</w:t>
      </w:r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>у</w:t>
      </w:r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>да Западно-Сибирского округа от 07.05</w:t>
      </w:r>
      <w:r w:rsidR="00C44A39" w:rsidRPr="0012237E">
        <w:rPr>
          <w:rFonts w:ascii="Times New Roman" w:hAnsi="Times New Roman" w:cs="Times New Roman"/>
          <w:spacing w:val="6"/>
          <w:sz w:val="23"/>
          <w:szCs w:val="23"/>
        </w:rPr>
        <w:t>.2019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г.</w:t>
      </w:r>
      <w:r w:rsidR="00C44A39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№ Ф04-1153/2019 по делу № </w:t>
      </w:r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>А75-5944/2018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// 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>Справ</w:t>
      </w:r>
      <w:proofErr w:type="gramStart"/>
      <w:r w:rsidRPr="0012237E">
        <w:rPr>
          <w:rFonts w:ascii="Times New Roman" w:hAnsi="Times New Roman" w:cs="Times New Roman"/>
          <w:spacing w:val="6"/>
          <w:sz w:val="23"/>
          <w:szCs w:val="23"/>
        </w:rPr>
        <w:t>.-</w:t>
      </w:r>
      <w:proofErr w:type="gramEnd"/>
      <w:r w:rsidRPr="0012237E">
        <w:rPr>
          <w:rFonts w:ascii="Times New Roman" w:hAnsi="Times New Roman" w:cs="Times New Roman"/>
          <w:spacing w:val="6"/>
          <w:sz w:val="23"/>
          <w:szCs w:val="23"/>
        </w:rPr>
        <w:t>прав. с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>и</w:t>
      </w:r>
      <w:r w:rsidRPr="0012237E">
        <w:rPr>
          <w:rFonts w:ascii="Times New Roman" w:hAnsi="Times New Roman" w:cs="Times New Roman"/>
          <w:spacing w:val="6"/>
          <w:sz w:val="23"/>
          <w:szCs w:val="23"/>
        </w:rPr>
        <w:t>стема</w:t>
      </w:r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 xml:space="preserve"> «</w:t>
      </w:r>
      <w:proofErr w:type="spellStart"/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>КонсультантПлюс</w:t>
      </w:r>
      <w:proofErr w:type="spellEnd"/>
      <w:r w:rsidR="00EC4896" w:rsidRPr="0012237E">
        <w:rPr>
          <w:rFonts w:ascii="Times New Roman" w:hAnsi="Times New Roman" w:cs="Times New Roman"/>
          <w:spacing w:val="6"/>
          <w:sz w:val="23"/>
          <w:szCs w:val="23"/>
        </w:rPr>
        <w:t>». 2019.</w:t>
      </w:r>
    </w:p>
    <w:p w:rsidR="00EC4896" w:rsidRPr="008749D8" w:rsidRDefault="0065169C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10</w:t>
      </w:r>
      <w:r w:rsidR="00EC4896" w:rsidRPr="00874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C4896" w:rsidRPr="008749D8">
        <w:rPr>
          <w:rFonts w:ascii="Times New Roman" w:hAnsi="Times New Roman" w:cs="Times New Roman"/>
          <w:sz w:val="23"/>
          <w:szCs w:val="23"/>
        </w:rPr>
        <w:t>Постановление Пятнадцатого а</w:t>
      </w:r>
      <w:r w:rsidR="00EC4896" w:rsidRPr="008749D8">
        <w:rPr>
          <w:rFonts w:ascii="Times New Roman" w:hAnsi="Times New Roman" w:cs="Times New Roman"/>
          <w:sz w:val="23"/>
          <w:szCs w:val="23"/>
        </w:rPr>
        <w:t>р</w:t>
      </w:r>
      <w:r w:rsidR="00EC4896" w:rsidRPr="008749D8">
        <w:rPr>
          <w:rFonts w:ascii="Times New Roman" w:hAnsi="Times New Roman" w:cs="Times New Roman"/>
          <w:sz w:val="23"/>
          <w:szCs w:val="23"/>
        </w:rPr>
        <w:t>битражного апе</w:t>
      </w:r>
      <w:r w:rsidR="00C44A39" w:rsidRPr="008749D8">
        <w:rPr>
          <w:rFonts w:ascii="Times New Roman" w:hAnsi="Times New Roman" w:cs="Times New Roman"/>
          <w:sz w:val="23"/>
          <w:szCs w:val="23"/>
        </w:rPr>
        <w:t>лляционного суда от 10.07.2017</w:t>
      </w:r>
      <w:r w:rsidRPr="008749D8">
        <w:rPr>
          <w:rFonts w:ascii="Times New Roman" w:hAnsi="Times New Roman" w:cs="Times New Roman"/>
          <w:sz w:val="23"/>
          <w:szCs w:val="23"/>
        </w:rPr>
        <w:t xml:space="preserve"> г.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 № 15АП-5274/2017 по делу №</w:t>
      </w:r>
      <w:r w:rsidR="00EC4896" w:rsidRPr="008749D8">
        <w:rPr>
          <w:rFonts w:ascii="Times New Roman" w:hAnsi="Times New Roman" w:cs="Times New Roman"/>
          <w:sz w:val="23"/>
          <w:szCs w:val="23"/>
        </w:rPr>
        <w:t xml:space="preserve"> А53-26499/2016</w:t>
      </w:r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EC4896" w:rsidRPr="008749D8">
        <w:rPr>
          <w:rFonts w:ascii="Times New Roman" w:hAnsi="Times New Roman" w:cs="Times New Roman"/>
          <w:sz w:val="23"/>
          <w:szCs w:val="23"/>
        </w:rPr>
        <w:t xml:space="preserve">// </w:t>
      </w:r>
      <w:r w:rsidRPr="008749D8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Pr="008749D8">
        <w:rPr>
          <w:rFonts w:ascii="Times New Roman" w:hAnsi="Times New Roman" w:cs="Times New Roman"/>
          <w:sz w:val="23"/>
          <w:szCs w:val="23"/>
        </w:rPr>
        <w:t>прав. система</w:t>
      </w:r>
      <w:r w:rsidR="00EC4896" w:rsidRPr="008749D8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EC4896" w:rsidRPr="008749D8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="00EC4896" w:rsidRPr="008749D8">
        <w:rPr>
          <w:rFonts w:ascii="Times New Roman" w:hAnsi="Times New Roman" w:cs="Times New Roman"/>
          <w:sz w:val="23"/>
          <w:szCs w:val="23"/>
        </w:rPr>
        <w:t>». 2019.</w:t>
      </w:r>
    </w:p>
    <w:p w:rsidR="00C60CC1" w:rsidRPr="008749D8" w:rsidRDefault="0065169C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 xml:space="preserve">11 </w:t>
      </w:r>
      <w:r w:rsidR="009E6410" w:rsidRPr="008749D8">
        <w:rPr>
          <w:rFonts w:ascii="Times New Roman" w:hAnsi="Times New Roman" w:cs="Times New Roman"/>
          <w:sz w:val="23"/>
          <w:szCs w:val="23"/>
        </w:rPr>
        <w:t>Постановление Двадцатого арби</w:t>
      </w:r>
      <w:r w:rsidR="009E6410" w:rsidRPr="008749D8">
        <w:rPr>
          <w:rFonts w:ascii="Times New Roman" w:hAnsi="Times New Roman" w:cs="Times New Roman"/>
          <w:sz w:val="23"/>
          <w:szCs w:val="23"/>
        </w:rPr>
        <w:t>т</w:t>
      </w:r>
      <w:r w:rsidR="009E6410" w:rsidRPr="008749D8">
        <w:rPr>
          <w:rFonts w:ascii="Times New Roman" w:hAnsi="Times New Roman" w:cs="Times New Roman"/>
          <w:sz w:val="23"/>
          <w:szCs w:val="23"/>
        </w:rPr>
        <w:t>ражного апе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лляционного суда от </w:t>
      </w:r>
      <w:r w:rsidR="00C44A39" w:rsidRPr="008749D8">
        <w:rPr>
          <w:rFonts w:ascii="Times New Roman" w:hAnsi="Times New Roman" w:cs="Times New Roman"/>
          <w:sz w:val="23"/>
          <w:szCs w:val="23"/>
        </w:rPr>
        <w:lastRenderedPageBreak/>
        <w:t>13.08.2018</w:t>
      </w:r>
      <w:r w:rsidRPr="008749D8">
        <w:rPr>
          <w:rFonts w:ascii="Times New Roman" w:hAnsi="Times New Roman" w:cs="Times New Roman"/>
          <w:sz w:val="23"/>
          <w:szCs w:val="23"/>
        </w:rPr>
        <w:t xml:space="preserve"> г.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 №</w:t>
      </w:r>
      <w:r w:rsidR="009E6410" w:rsidRPr="008749D8">
        <w:rPr>
          <w:rFonts w:ascii="Times New Roman" w:hAnsi="Times New Roman" w:cs="Times New Roman"/>
          <w:sz w:val="23"/>
          <w:szCs w:val="23"/>
        </w:rPr>
        <w:t xml:space="preserve"> 20АП-3254</w:t>
      </w:r>
      <w:r w:rsidR="00C44A39" w:rsidRPr="008749D8">
        <w:rPr>
          <w:rFonts w:ascii="Times New Roman" w:hAnsi="Times New Roman" w:cs="Times New Roman"/>
          <w:sz w:val="23"/>
          <w:szCs w:val="23"/>
        </w:rPr>
        <w:t>/2018 по делу №</w:t>
      </w:r>
      <w:r w:rsidR="009E6410" w:rsidRPr="008749D8">
        <w:rPr>
          <w:rFonts w:ascii="Times New Roman" w:hAnsi="Times New Roman" w:cs="Times New Roman"/>
          <w:sz w:val="23"/>
          <w:szCs w:val="23"/>
        </w:rPr>
        <w:t xml:space="preserve"> А62-8938/2016</w:t>
      </w:r>
      <w:r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C60CC1" w:rsidRPr="008749D8">
        <w:rPr>
          <w:rFonts w:ascii="Times New Roman" w:hAnsi="Times New Roman" w:cs="Times New Roman"/>
          <w:sz w:val="23"/>
          <w:szCs w:val="23"/>
        </w:rPr>
        <w:t xml:space="preserve">// </w:t>
      </w:r>
      <w:r w:rsidRPr="008749D8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Pr="008749D8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Pr="008749D8">
        <w:rPr>
          <w:rFonts w:ascii="Times New Roman" w:hAnsi="Times New Roman" w:cs="Times New Roman"/>
          <w:sz w:val="23"/>
          <w:szCs w:val="23"/>
        </w:rPr>
        <w:t>прав. система</w:t>
      </w:r>
      <w:r w:rsidR="00C60CC1" w:rsidRPr="008749D8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C60CC1" w:rsidRPr="008749D8">
        <w:rPr>
          <w:rFonts w:ascii="Times New Roman" w:hAnsi="Times New Roman" w:cs="Times New Roman"/>
          <w:sz w:val="23"/>
          <w:szCs w:val="23"/>
        </w:rPr>
        <w:t>Консуль</w:t>
      </w:r>
      <w:r w:rsidR="009E6410" w:rsidRPr="008749D8">
        <w:rPr>
          <w:rFonts w:ascii="Times New Roman" w:hAnsi="Times New Roman" w:cs="Times New Roman"/>
          <w:sz w:val="23"/>
          <w:szCs w:val="23"/>
        </w:rPr>
        <w:t>тантПлюс</w:t>
      </w:r>
      <w:proofErr w:type="spellEnd"/>
      <w:r w:rsidR="009E6410" w:rsidRPr="008749D8">
        <w:rPr>
          <w:rFonts w:ascii="Times New Roman" w:hAnsi="Times New Roman" w:cs="Times New Roman"/>
          <w:sz w:val="23"/>
          <w:szCs w:val="23"/>
        </w:rPr>
        <w:t>». 2019</w:t>
      </w:r>
      <w:r w:rsidR="00C60CC1" w:rsidRPr="008749D8">
        <w:rPr>
          <w:rFonts w:ascii="Times New Roman" w:hAnsi="Times New Roman" w:cs="Times New Roman"/>
          <w:sz w:val="23"/>
          <w:szCs w:val="23"/>
        </w:rPr>
        <w:t>.</w:t>
      </w:r>
    </w:p>
    <w:p w:rsidR="00C60CC1" w:rsidRPr="008749D8" w:rsidRDefault="00EC4896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8749D8">
        <w:rPr>
          <w:rFonts w:ascii="Times New Roman" w:hAnsi="Times New Roman" w:cs="Times New Roman"/>
          <w:sz w:val="23"/>
          <w:szCs w:val="23"/>
        </w:rPr>
        <w:t>12</w:t>
      </w:r>
      <w:r w:rsidR="00C60CC1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903F27" w:rsidRPr="008749D8">
        <w:rPr>
          <w:rFonts w:ascii="Times New Roman" w:hAnsi="Times New Roman" w:cs="Times New Roman"/>
          <w:sz w:val="23"/>
          <w:szCs w:val="23"/>
        </w:rPr>
        <w:t>Постановление Двадцатого арби</w:t>
      </w:r>
      <w:r w:rsidR="00903F27" w:rsidRPr="008749D8">
        <w:rPr>
          <w:rFonts w:ascii="Times New Roman" w:hAnsi="Times New Roman" w:cs="Times New Roman"/>
          <w:sz w:val="23"/>
          <w:szCs w:val="23"/>
        </w:rPr>
        <w:t>т</w:t>
      </w:r>
      <w:r w:rsidR="00903F27" w:rsidRPr="008749D8">
        <w:rPr>
          <w:rFonts w:ascii="Times New Roman" w:hAnsi="Times New Roman" w:cs="Times New Roman"/>
          <w:sz w:val="23"/>
          <w:szCs w:val="23"/>
        </w:rPr>
        <w:t>ражного апе</w:t>
      </w:r>
      <w:r w:rsidR="00C44A39" w:rsidRPr="008749D8">
        <w:rPr>
          <w:rFonts w:ascii="Times New Roman" w:hAnsi="Times New Roman" w:cs="Times New Roman"/>
          <w:sz w:val="23"/>
          <w:szCs w:val="23"/>
        </w:rPr>
        <w:t>лляционного суда от 29.08.2018</w:t>
      </w:r>
      <w:r w:rsidR="0065169C" w:rsidRPr="008749D8">
        <w:rPr>
          <w:rFonts w:ascii="Times New Roman" w:hAnsi="Times New Roman" w:cs="Times New Roman"/>
          <w:sz w:val="23"/>
          <w:szCs w:val="23"/>
        </w:rPr>
        <w:t xml:space="preserve"> г.</w:t>
      </w:r>
      <w:r w:rsidR="00C44A39" w:rsidRPr="008749D8">
        <w:rPr>
          <w:rFonts w:ascii="Times New Roman" w:hAnsi="Times New Roman" w:cs="Times New Roman"/>
          <w:sz w:val="23"/>
          <w:szCs w:val="23"/>
        </w:rPr>
        <w:t xml:space="preserve"> № 20АП-4918/2018 по делу №</w:t>
      </w:r>
      <w:r w:rsidR="00903F27" w:rsidRPr="008749D8">
        <w:rPr>
          <w:rFonts w:ascii="Times New Roman" w:hAnsi="Times New Roman" w:cs="Times New Roman"/>
          <w:sz w:val="23"/>
          <w:szCs w:val="23"/>
        </w:rPr>
        <w:t xml:space="preserve"> А09-13479/2017</w:t>
      </w:r>
      <w:r w:rsidR="0065169C" w:rsidRPr="008749D8">
        <w:rPr>
          <w:rFonts w:ascii="Times New Roman" w:hAnsi="Times New Roman" w:cs="Times New Roman"/>
          <w:sz w:val="23"/>
          <w:szCs w:val="23"/>
        </w:rPr>
        <w:t xml:space="preserve"> </w:t>
      </w:r>
      <w:r w:rsidR="00C60CC1" w:rsidRPr="008749D8">
        <w:rPr>
          <w:rFonts w:ascii="Times New Roman" w:hAnsi="Times New Roman" w:cs="Times New Roman"/>
          <w:sz w:val="23"/>
          <w:szCs w:val="23"/>
        </w:rPr>
        <w:t>/</w:t>
      </w:r>
      <w:r w:rsidR="000B32CE" w:rsidRPr="008749D8">
        <w:rPr>
          <w:rFonts w:ascii="Times New Roman" w:hAnsi="Times New Roman" w:cs="Times New Roman"/>
          <w:sz w:val="23"/>
          <w:szCs w:val="23"/>
        </w:rPr>
        <w:t xml:space="preserve">/ </w:t>
      </w:r>
      <w:r w:rsidR="0065169C" w:rsidRPr="008749D8">
        <w:rPr>
          <w:rFonts w:ascii="Times New Roman" w:hAnsi="Times New Roman" w:cs="Times New Roman"/>
          <w:sz w:val="23"/>
          <w:szCs w:val="23"/>
        </w:rPr>
        <w:t>Справ</w:t>
      </w:r>
      <w:proofErr w:type="gramStart"/>
      <w:r w:rsidR="0065169C" w:rsidRPr="008749D8">
        <w:rPr>
          <w:rFonts w:ascii="Times New Roman" w:hAnsi="Times New Roman" w:cs="Times New Roman"/>
          <w:sz w:val="23"/>
          <w:szCs w:val="23"/>
        </w:rPr>
        <w:t>.-</w:t>
      </w:r>
      <w:proofErr w:type="gramEnd"/>
      <w:r w:rsidR="0065169C" w:rsidRPr="008749D8">
        <w:rPr>
          <w:rFonts w:ascii="Times New Roman" w:hAnsi="Times New Roman" w:cs="Times New Roman"/>
          <w:sz w:val="23"/>
          <w:szCs w:val="23"/>
        </w:rPr>
        <w:t>прав. система</w:t>
      </w:r>
      <w:r w:rsidR="000B32CE" w:rsidRPr="008749D8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0B32CE" w:rsidRPr="008749D8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="000B32CE" w:rsidRPr="008749D8">
        <w:rPr>
          <w:rFonts w:ascii="Times New Roman" w:hAnsi="Times New Roman" w:cs="Times New Roman"/>
          <w:sz w:val="23"/>
          <w:szCs w:val="23"/>
        </w:rPr>
        <w:t>». 2019</w:t>
      </w:r>
      <w:r w:rsidR="00C60CC1" w:rsidRPr="008749D8">
        <w:rPr>
          <w:rFonts w:ascii="Times New Roman" w:hAnsi="Times New Roman" w:cs="Times New Roman"/>
          <w:sz w:val="23"/>
          <w:szCs w:val="23"/>
        </w:rPr>
        <w:t>.</w:t>
      </w:r>
    </w:p>
    <w:p w:rsidR="00EC4896" w:rsidRPr="0012237E" w:rsidRDefault="00EC4896" w:rsidP="00E97A1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13</w:t>
      </w:r>
      <w:r w:rsidR="000B32CE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Решение Арбитражного суда Ре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публики Марий Эл от 12.08.2015</w:t>
      </w:r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г.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д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лу № А38-3426/2015</w:t>
      </w:r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// </w:t>
      </w:r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Справ</w:t>
      </w:r>
      <w:proofErr w:type="gramStart"/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.-</w:t>
      </w:r>
      <w:proofErr w:type="gramEnd"/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прав. с</w:t>
      </w:r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65169C"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стема</w:t>
      </w:r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«</w:t>
      </w:r>
      <w:proofErr w:type="spellStart"/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КонсультантПлюс</w:t>
      </w:r>
      <w:proofErr w:type="spellEnd"/>
      <w:r w:rsidRPr="0012237E">
        <w:rPr>
          <w:rFonts w:ascii="Times New Roman" w:hAnsi="Times New Roman" w:cs="Times New Roman"/>
          <w:color w:val="000000" w:themeColor="text1"/>
          <w:sz w:val="23"/>
          <w:szCs w:val="23"/>
        </w:rPr>
        <w:t>». 2019.</w:t>
      </w:r>
    </w:p>
    <w:sectPr w:rsidR="00EC4896" w:rsidRPr="0012237E" w:rsidSect="00351541">
      <w:type w:val="continuous"/>
      <w:pgSz w:w="11906" w:h="16838" w:code="9"/>
      <w:pgMar w:top="1418" w:right="1418" w:bottom="1418" w:left="1418" w:header="709" w:footer="709" w:gutter="0"/>
      <w:cols w:num="2" w:space="720"/>
      <w:docGrid w:type="lines" w:linePitch="170" w:charSpace="-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E5" w:rsidRDefault="002F48E5">
      <w:pPr>
        <w:spacing w:after="0" w:line="240" w:lineRule="auto"/>
      </w:pPr>
      <w:r>
        <w:separator/>
      </w:r>
    </w:p>
  </w:endnote>
  <w:endnote w:type="continuationSeparator" w:id="0">
    <w:p w:rsidR="002F48E5" w:rsidRDefault="002F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B8" w:rsidRDefault="007C68B8" w:rsidP="007C68B8">
    <w:pPr>
      <w:pStyle w:val="a7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7C68B8" w:rsidRDefault="007C68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E5" w:rsidRDefault="002F48E5">
      <w:pPr>
        <w:spacing w:after="0" w:line="240" w:lineRule="auto"/>
      </w:pPr>
      <w:r>
        <w:separator/>
      </w:r>
    </w:p>
  </w:footnote>
  <w:footnote w:type="continuationSeparator" w:id="0">
    <w:p w:rsidR="002F48E5" w:rsidRDefault="002F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546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749D8" w:rsidRPr="008749D8" w:rsidRDefault="008749D8" w:rsidP="008749D8">
        <w:pPr>
          <w:pStyle w:val="a5"/>
          <w:jc w:val="center"/>
          <w:rPr>
            <w:rFonts w:ascii="Times New Roman" w:hAnsi="Times New Roman" w:cs="Times New Roman"/>
          </w:rPr>
        </w:pPr>
        <w:r w:rsidRPr="008749D8">
          <w:rPr>
            <w:rFonts w:ascii="Times New Roman" w:hAnsi="Times New Roman" w:cs="Times New Roman"/>
          </w:rPr>
          <w:fldChar w:fldCharType="begin"/>
        </w:r>
        <w:r w:rsidRPr="008749D8">
          <w:rPr>
            <w:rFonts w:ascii="Times New Roman" w:hAnsi="Times New Roman" w:cs="Times New Roman"/>
          </w:rPr>
          <w:instrText>PAGE   \* MERGEFORMAT</w:instrText>
        </w:r>
        <w:r w:rsidRPr="008749D8">
          <w:rPr>
            <w:rFonts w:ascii="Times New Roman" w:hAnsi="Times New Roman" w:cs="Times New Roman"/>
          </w:rPr>
          <w:fldChar w:fldCharType="separate"/>
        </w:r>
        <w:r w:rsidR="00516F5E">
          <w:rPr>
            <w:rFonts w:ascii="Times New Roman" w:hAnsi="Times New Roman" w:cs="Times New Roman"/>
            <w:noProof/>
          </w:rPr>
          <w:t>131</w:t>
        </w:r>
        <w:r w:rsidRPr="008749D8">
          <w:rPr>
            <w:rFonts w:ascii="Times New Roman" w:hAnsi="Times New Roman" w:cs="Times New Roman"/>
          </w:rPr>
          <w:fldChar w:fldCharType="end"/>
        </w:r>
      </w:p>
    </w:sdtContent>
  </w:sdt>
  <w:p w:rsidR="008749D8" w:rsidRPr="008749D8" w:rsidRDefault="008749D8" w:rsidP="008749D8">
    <w:pPr>
      <w:pStyle w:val="a5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hideGrammaticalErrors/>
  <w:proofState w:spelling="clean" w:grammar="clean"/>
  <w:defaultTabStop w:val="800"/>
  <w:autoHyphenation/>
  <w:hyphenationZone w:val="357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16"/>
    <w:rsid w:val="00003C00"/>
    <w:rsid w:val="00020880"/>
    <w:rsid w:val="000633FC"/>
    <w:rsid w:val="00070FC3"/>
    <w:rsid w:val="000B32CE"/>
    <w:rsid w:val="000C7C0E"/>
    <w:rsid w:val="0012237E"/>
    <w:rsid w:val="0014000B"/>
    <w:rsid w:val="00140AD0"/>
    <w:rsid w:val="001B4D55"/>
    <w:rsid w:val="00230AA4"/>
    <w:rsid w:val="002679B4"/>
    <w:rsid w:val="00276E90"/>
    <w:rsid w:val="002B3753"/>
    <w:rsid w:val="002E1920"/>
    <w:rsid w:val="002E5858"/>
    <w:rsid w:val="002F48E5"/>
    <w:rsid w:val="002F54EA"/>
    <w:rsid w:val="00300B52"/>
    <w:rsid w:val="003301E2"/>
    <w:rsid w:val="00346E6A"/>
    <w:rsid w:val="00351541"/>
    <w:rsid w:val="00362712"/>
    <w:rsid w:val="003627AD"/>
    <w:rsid w:val="00394550"/>
    <w:rsid w:val="003C524E"/>
    <w:rsid w:val="003D2675"/>
    <w:rsid w:val="004159C7"/>
    <w:rsid w:val="00423F5D"/>
    <w:rsid w:val="00462D96"/>
    <w:rsid w:val="00477316"/>
    <w:rsid w:val="00490FBC"/>
    <w:rsid w:val="00495B72"/>
    <w:rsid w:val="00502227"/>
    <w:rsid w:val="00513084"/>
    <w:rsid w:val="00516F5E"/>
    <w:rsid w:val="005674CA"/>
    <w:rsid w:val="00571716"/>
    <w:rsid w:val="00577C8C"/>
    <w:rsid w:val="00586052"/>
    <w:rsid w:val="005B0235"/>
    <w:rsid w:val="005E3826"/>
    <w:rsid w:val="00633C55"/>
    <w:rsid w:val="00637AD0"/>
    <w:rsid w:val="0065169C"/>
    <w:rsid w:val="006A5A9D"/>
    <w:rsid w:val="006B4996"/>
    <w:rsid w:val="006B517F"/>
    <w:rsid w:val="00724D60"/>
    <w:rsid w:val="00753E61"/>
    <w:rsid w:val="00763265"/>
    <w:rsid w:val="00763A5B"/>
    <w:rsid w:val="007C68B8"/>
    <w:rsid w:val="007D49FF"/>
    <w:rsid w:val="007D5E4B"/>
    <w:rsid w:val="007F2748"/>
    <w:rsid w:val="00801321"/>
    <w:rsid w:val="00823F30"/>
    <w:rsid w:val="008266BD"/>
    <w:rsid w:val="00833A41"/>
    <w:rsid w:val="008347A6"/>
    <w:rsid w:val="00840900"/>
    <w:rsid w:val="0084239F"/>
    <w:rsid w:val="008749D8"/>
    <w:rsid w:val="00884396"/>
    <w:rsid w:val="008A73B8"/>
    <w:rsid w:val="008B0599"/>
    <w:rsid w:val="008B680A"/>
    <w:rsid w:val="00903F27"/>
    <w:rsid w:val="00924694"/>
    <w:rsid w:val="009453A0"/>
    <w:rsid w:val="00946F5E"/>
    <w:rsid w:val="00950A3F"/>
    <w:rsid w:val="0096476D"/>
    <w:rsid w:val="00965AD4"/>
    <w:rsid w:val="00976808"/>
    <w:rsid w:val="00977F45"/>
    <w:rsid w:val="009837BA"/>
    <w:rsid w:val="00983DCD"/>
    <w:rsid w:val="009E6132"/>
    <w:rsid w:val="009E6410"/>
    <w:rsid w:val="009F4C06"/>
    <w:rsid w:val="009F61F2"/>
    <w:rsid w:val="00A0731C"/>
    <w:rsid w:val="00A65B41"/>
    <w:rsid w:val="00A854D6"/>
    <w:rsid w:val="00AB50CD"/>
    <w:rsid w:val="00AD6BE0"/>
    <w:rsid w:val="00AF2DD5"/>
    <w:rsid w:val="00AF392E"/>
    <w:rsid w:val="00B014BB"/>
    <w:rsid w:val="00B06406"/>
    <w:rsid w:val="00B57806"/>
    <w:rsid w:val="00B60DFC"/>
    <w:rsid w:val="00B70478"/>
    <w:rsid w:val="00B7429F"/>
    <w:rsid w:val="00B90745"/>
    <w:rsid w:val="00B92228"/>
    <w:rsid w:val="00BB37E5"/>
    <w:rsid w:val="00BE7E44"/>
    <w:rsid w:val="00C27163"/>
    <w:rsid w:val="00C44A39"/>
    <w:rsid w:val="00C60CC1"/>
    <w:rsid w:val="00C617B2"/>
    <w:rsid w:val="00C8093C"/>
    <w:rsid w:val="00CC0D34"/>
    <w:rsid w:val="00CE0EF0"/>
    <w:rsid w:val="00D17493"/>
    <w:rsid w:val="00D565FC"/>
    <w:rsid w:val="00D600CB"/>
    <w:rsid w:val="00DA1C24"/>
    <w:rsid w:val="00DF43B1"/>
    <w:rsid w:val="00E20F72"/>
    <w:rsid w:val="00E97A10"/>
    <w:rsid w:val="00EA1F8E"/>
    <w:rsid w:val="00EB4D18"/>
    <w:rsid w:val="00EC4896"/>
    <w:rsid w:val="00EC7241"/>
    <w:rsid w:val="00ED2E96"/>
    <w:rsid w:val="00EE5804"/>
    <w:rsid w:val="00EF0EEC"/>
    <w:rsid w:val="00F14A51"/>
    <w:rsid w:val="00F159E3"/>
    <w:rsid w:val="00F25263"/>
    <w:rsid w:val="00F33667"/>
    <w:rsid w:val="00F55FB7"/>
    <w:rsid w:val="00F96B2E"/>
    <w:rsid w:val="00FA4795"/>
    <w:rsid w:val="00FA5E27"/>
    <w:rsid w:val="00FC2662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pacing w:after="0" w:line="240" w:lineRule="auto"/>
    </w:pPr>
    <w:rPr>
      <w:sz w:val="20"/>
      <w:szCs w:val="20"/>
    </w:rPr>
  </w:style>
  <w:style w:type="character" w:styleId="a4">
    <w:name w:val="footnote reference"/>
    <w:basedOn w:val="a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C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8B8"/>
  </w:style>
  <w:style w:type="paragraph" w:styleId="a7">
    <w:name w:val="footer"/>
    <w:basedOn w:val="a"/>
    <w:link w:val="a8"/>
    <w:uiPriority w:val="99"/>
    <w:unhideWhenUsed/>
    <w:rsid w:val="007C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8B8"/>
  </w:style>
  <w:style w:type="paragraph" w:styleId="a9">
    <w:name w:val="Balloon Text"/>
    <w:basedOn w:val="a"/>
    <w:link w:val="aa"/>
    <w:uiPriority w:val="99"/>
    <w:semiHidden/>
    <w:unhideWhenUsed/>
    <w:rsid w:val="00E9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pacing w:after="0" w:line="240" w:lineRule="auto"/>
    </w:pPr>
    <w:rPr>
      <w:sz w:val="20"/>
      <w:szCs w:val="20"/>
    </w:rPr>
  </w:style>
  <w:style w:type="character" w:styleId="a4">
    <w:name w:val="footnote reference"/>
    <w:basedOn w:val="a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C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8B8"/>
  </w:style>
  <w:style w:type="paragraph" w:styleId="a7">
    <w:name w:val="footer"/>
    <w:basedOn w:val="a"/>
    <w:link w:val="a8"/>
    <w:uiPriority w:val="99"/>
    <w:unhideWhenUsed/>
    <w:rsid w:val="007C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8B8"/>
  </w:style>
  <w:style w:type="paragraph" w:styleId="a9">
    <w:name w:val="Balloon Text"/>
    <w:basedOn w:val="a"/>
    <w:link w:val="aa"/>
    <w:uiPriority w:val="99"/>
    <w:semiHidden/>
    <w:unhideWhenUsed/>
    <w:rsid w:val="00E9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2019-12-04T16:38:00Z</dcterms:created>
  <dcterms:modified xsi:type="dcterms:W3CDTF">2020-10-14T05:48:00Z</dcterms:modified>
  <cp:version>0900.0000.01</cp:version>
</cp:coreProperties>
</file>